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DA5F1" w14:textId="77777777" w:rsidR="00042990" w:rsidRDefault="00042990" w:rsidP="00042990">
      <w:pPr>
        <w:spacing w:line="240" w:lineRule="auto"/>
        <w:rPr>
          <w:rFonts w:asciiTheme="majorBidi" w:hAnsiTheme="majorBidi" w:cstheme="majorBidi"/>
          <w:b/>
          <w:szCs w:val="24"/>
        </w:rPr>
      </w:pPr>
    </w:p>
    <w:p w14:paraId="6F885AE5" w14:textId="440D2EEA" w:rsidR="00EF6B5D" w:rsidRDefault="00EF6B5D" w:rsidP="00EF6B5D">
      <w:pPr>
        <w:spacing w:after="0" w:line="240" w:lineRule="auto"/>
        <w:jc w:val="center"/>
        <w:rPr>
          <w:rFonts w:asciiTheme="majorBidi" w:hAnsiTheme="majorBidi" w:cstheme="majorBidi"/>
          <w:b/>
          <w:szCs w:val="24"/>
        </w:rPr>
      </w:pPr>
      <w:r w:rsidRPr="00EB49C5">
        <w:rPr>
          <w:rFonts w:asciiTheme="majorBidi" w:hAnsiTheme="majorBidi" w:cstheme="majorBidi"/>
          <w:b/>
          <w:szCs w:val="24"/>
        </w:rPr>
        <w:t>Abstract</w:t>
      </w:r>
    </w:p>
    <w:p w14:paraId="0E1E6A7D" w14:textId="77777777" w:rsidR="001B0C81" w:rsidRDefault="001B0C81" w:rsidP="003A7D68">
      <w:pPr>
        <w:spacing w:after="0" w:line="240" w:lineRule="auto"/>
        <w:ind w:left="284" w:right="333"/>
        <w:jc w:val="center"/>
        <w:rPr>
          <w:rFonts w:asciiTheme="majorBidi" w:hAnsiTheme="majorBidi" w:cstheme="majorBidi"/>
          <w:b/>
          <w:szCs w:val="24"/>
        </w:rPr>
      </w:pPr>
    </w:p>
    <w:p w14:paraId="1EFB4269" w14:textId="77777777" w:rsidR="005E51E5" w:rsidRPr="00235034" w:rsidRDefault="005E51E5" w:rsidP="005E51E5">
      <w:pPr>
        <w:pStyle w:val="BodyText"/>
        <w:spacing w:after="0" w:line="240" w:lineRule="auto"/>
        <w:ind w:left="284" w:right="333"/>
      </w:pPr>
      <w:r w:rsidRPr="00235034">
        <w:t xml:space="preserve">This study investigates the impact of factors like operational complexity, profitability, solvency, audit tenure, and financial distress on audit delays among mining companies listed on the Indonesia Stock Exchange (IDX) from 2019 to 2021. Secondary data is obtained from the companies' annual financial reports, with data analysis conducted through descriptive statistics and multiple linear regression methods. The findings reveal that while company operations complexity and profitability negatively influence audit delays, the other variables do not show a significant effect. These findings are expected to provide insights for company management and auditors regarding factors influencing audit delay, </w:t>
      </w:r>
      <w:r w:rsidRPr="00235034">
        <w:rPr>
          <w:lang w:val="id-ID"/>
        </w:rPr>
        <w:t>especially in the pandemic context</w:t>
      </w:r>
      <w:r w:rsidRPr="00235034">
        <w:t>.</w:t>
      </w:r>
    </w:p>
    <w:p w14:paraId="282F8A97" w14:textId="77777777" w:rsidR="005E51E5" w:rsidRPr="00235034" w:rsidRDefault="005E51E5" w:rsidP="005E51E5">
      <w:pPr>
        <w:pStyle w:val="BodyText"/>
        <w:spacing w:before="1" w:after="0" w:line="240" w:lineRule="auto"/>
        <w:ind w:left="284" w:right="333"/>
      </w:pPr>
    </w:p>
    <w:p w14:paraId="55AFDD9B" w14:textId="77777777" w:rsidR="005E51E5" w:rsidRPr="00235034" w:rsidRDefault="005E51E5" w:rsidP="005E51E5">
      <w:pPr>
        <w:pStyle w:val="BodyText"/>
        <w:spacing w:before="1" w:after="0" w:line="240" w:lineRule="auto"/>
        <w:ind w:left="1418" w:right="333" w:hanging="1134"/>
      </w:pPr>
      <w:r w:rsidRPr="00235034">
        <w:rPr>
          <w:b/>
        </w:rPr>
        <w:t>Keywords:</w:t>
      </w:r>
      <w:r w:rsidRPr="00235034">
        <w:rPr>
          <w:b/>
          <w:spacing w:val="7"/>
        </w:rPr>
        <w:t xml:space="preserve"> </w:t>
      </w:r>
      <w:r w:rsidRPr="00235034">
        <w:t>Audit Delay, Complexity of Company Operations, Profitability, Solvency, Audit Tenure, Financial Distress</w:t>
      </w:r>
    </w:p>
    <w:p w14:paraId="67710A1E" w14:textId="66D1F044" w:rsidR="00FF6CDE" w:rsidRDefault="00FF6CDE" w:rsidP="00FF6CDE">
      <w:pPr>
        <w:pStyle w:val="BodyText"/>
        <w:spacing w:before="1" w:after="0" w:line="240" w:lineRule="auto"/>
        <w:ind w:left="1418" w:right="333" w:hanging="1134"/>
      </w:pPr>
    </w:p>
    <w:p w14:paraId="0337E20B" w14:textId="638FB935" w:rsidR="009B102E" w:rsidRPr="00A71F1E" w:rsidRDefault="00E63408" w:rsidP="00042990">
      <w:pPr>
        <w:spacing w:after="0" w:line="240" w:lineRule="auto"/>
        <w:ind w:left="1560" w:right="333" w:hanging="1276"/>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11125607" w14:textId="77777777" w:rsidR="00925986" w:rsidRPr="00925986" w:rsidRDefault="00925986" w:rsidP="00925986">
      <w:pPr>
        <w:spacing w:after="0" w:line="240" w:lineRule="auto"/>
        <w:ind w:left="284" w:right="333"/>
        <w:rPr>
          <w:szCs w:val="24"/>
        </w:rPr>
        <w:sectPr w:rsidR="00925986" w:rsidRPr="00925986" w:rsidSect="00D15E2C">
          <w:headerReference w:type="even" r:id="rId8"/>
          <w:headerReference w:type="default" r:id="rId9"/>
          <w:footerReference w:type="default" r:id="rId10"/>
          <w:pgSz w:w="12240" w:h="15840" w:code="1"/>
          <w:pgMar w:top="1440" w:right="1701" w:bottom="1440" w:left="1701" w:header="720" w:footer="720" w:gutter="0"/>
          <w:pgNumType w:start="854"/>
          <w:cols w:space="720"/>
          <w:docGrid w:linePitch="360"/>
        </w:sectPr>
      </w:pPr>
    </w:p>
    <w:p w14:paraId="7DB0B34E" w14:textId="4AD8667C" w:rsidR="003A7D68" w:rsidRPr="00FF6CDE" w:rsidRDefault="00971D6C" w:rsidP="00FF6CDE">
      <w:pPr>
        <w:pStyle w:val="Heading1"/>
        <w:keepLines/>
        <w:rPr>
          <w:rFonts w:asciiTheme="majorBidi" w:hAnsiTheme="majorBidi" w:cstheme="majorBidi"/>
        </w:rPr>
      </w:pPr>
      <w:r w:rsidRPr="00EB49C5">
        <w:rPr>
          <w:rFonts w:asciiTheme="majorBidi" w:hAnsiTheme="majorBidi" w:cstheme="majorBidi"/>
        </w:rPr>
        <w:lastRenderedPageBreak/>
        <w:t>INTRODUCTION</w:t>
      </w:r>
    </w:p>
    <w:p w14:paraId="6FDBDF7B" w14:textId="77777777" w:rsidR="005E51E5" w:rsidRPr="00C56BEB" w:rsidRDefault="005E51E5" w:rsidP="00F712AA">
      <w:pPr>
        <w:pStyle w:val="BodyText"/>
        <w:spacing w:after="0" w:line="360" w:lineRule="auto"/>
        <w:ind w:right="49" w:firstLine="708"/>
        <w:rPr>
          <w:bCs/>
          <w:lang w:val="id-ID"/>
        </w:rPr>
      </w:pPr>
      <w:r w:rsidRPr="00C56BEB">
        <w:rPr>
          <w:bCs/>
          <w:lang w:val="id-ID"/>
        </w:rPr>
        <w:t>The development of IPO (Initial Public Offering) or go-public companies in Indonesia has shown significant growth. This growth stems from the increasing need for companies to secure additional capital to enhance their future asset value. Companies listed on the stock exchange are required to submit financial statements promptly, as mandated by Article 7, paragraph 1 of Financial Services Authority Regulation No. 29/POJK/2016. The regulation specifies that financial statements must be submitted no later than four months, or 120 days, after the fiscal year's conclusion. Timely submission of financial statements is crucial not only to comply with regulatory requirements but also to maintain transparency, ensure market efficiency, and support investors in making</w:t>
      </w:r>
      <w:r>
        <w:rPr>
          <w:bCs/>
          <w:lang w:val="id-ID"/>
        </w:rPr>
        <w:t xml:space="preserve"> informed decisions.</w:t>
      </w:r>
    </w:p>
    <w:p w14:paraId="61195E67" w14:textId="77777777" w:rsidR="005E51E5" w:rsidRPr="00C56BEB" w:rsidRDefault="005E51E5" w:rsidP="00F712AA">
      <w:pPr>
        <w:pStyle w:val="BodyText"/>
        <w:spacing w:after="0" w:line="360" w:lineRule="auto"/>
        <w:ind w:right="49" w:firstLine="708"/>
        <w:rPr>
          <w:bCs/>
          <w:lang w:val="id-ID"/>
        </w:rPr>
      </w:pPr>
      <w:r w:rsidRPr="00C56BEB">
        <w:rPr>
          <w:bCs/>
          <w:lang w:val="id-ID"/>
        </w:rPr>
        <w:t xml:space="preserve">Audit delay, defined as the time taken to complete the audit process from the end of the accounting period to the publication of the audit report, is a key concern. Prolonged delays can undermine investor confidence, disrupt market operations, and negatively impact stock prices. Late submissions of financial reports may also result in financial penalties and reputational damage. For instance, companies failing to submit reports within 31 to 60 days of the deadline face fines of IDR 50,000,000 and regulatory sanctions, as stipulated in Section II.6.2 </w:t>
      </w:r>
      <w:r>
        <w:rPr>
          <w:bCs/>
          <w:lang w:val="id-ID"/>
        </w:rPr>
        <w:t>of Exchange Regulation No. I-H.</w:t>
      </w:r>
    </w:p>
    <w:p w14:paraId="254784D7" w14:textId="77777777" w:rsidR="005E51E5" w:rsidRPr="00C56BEB" w:rsidRDefault="005E51E5" w:rsidP="00F712AA">
      <w:pPr>
        <w:pStyle w:val="BodyText"/>
        <w:spacing w:after="0" w:line="360" w:lineRule="auto"/>
        <w:ind w:right="49" w:firstLine="708"/>
        <w:rPr>
          <w:bCs/>
          <w:lang w:val="id-ID"/>
        </w:rPr>
      </w:pPr>
      <w:r w:rsidRPr="00C56BEB">
        <w:rPr>
          <w:bCs/>
          <w:lang w:val="id-ID"/>
        </w:rPr>
        <w:t>The COVID-19 pandemic has exacerbated audit delays, introducing unique challenges for companies and auditors. Pandemic-related disruptions, such as remote working constraints, operational shutdowns, and financial distress, intensified the complexity of audit processes. In 2020, the number of companies experiencing submission delays peaked, reflecting the strain the pandemic placed on financial reporting. These challenges highlight the need for further exploration of factors contributing to a</w:t>
      </w:r>
      <w:r>
        <w:rPr>
          <w:bCs/>
          <w:lang w:val="id-ID"/>
        </w:rPr>
        <w:t>udit delays during such crises.</w:t>
      </w:r>
    </w:p>
    <w:p w14:paraId="43BFE367" w14:textId="77777777" w:rsidR="005E51E5" w:rsidRPr="00C56BEB" w:rsidRDefault="005E51E5" w:rsidP="00F712AA">
      <w:pPr>
        <w:pStyle w:val="BodyText"/>
        <w:spacing w:after="0" w:line="360" w:lineRule="auto"/>
        <w:ind w:right="49" w:firstLine="708"/>
        <w:rPr>
          <w:bCs/>
          <w:lang w:val="id-ID"/>
        </w:rPr>
      </w:pPr>
      <w:r w:rsidRPr="00C56BEB">
        <w:rPr>
          <w:bCs/>
          <w:lang w:val="id-ID"/>
        </w:rPr>
        <w:t xml:space="preserve">Previous studies have investigated audit delays, but the results are inconsistent, suggesting gaps in understanding. This study revisits the issue by analyzing factors such as operational complexity, profitability, solvency, audit duration, and financial distress, with a specific focus on mining companies listed on the Indonesia Stock Exchange (IDX) from 2019 to 2021. Mining companies are chosen due to their inherent operational complexity </w:t>
      </w:r>
      <w:r w:rsidRPr="00C56BEB">
        <w:rPr>
          <w:bCs/>
          <w:lang w:val="id-ID"/>
        </w:rPr>
        <w:lastRenderedPageBreak/>
        <w:t xml:space="preserve">and susceptibility to market volatility, making them a compelling subject for </w:t>
      </w:r>
      <w:r>
        <w:rPr>
          <w:bCs/>
          <w:lang w:val="id-ID"/>
        </w:rPr>
        <w:t>examining audit delay dynamics.</w:t>
      </w:r>
    </w:p>
    <w:p w14:paraId="3383C235" w14:textId="77777777" w:rsidR="005E51E5" w:rsidRPr="00C56BEB" w:rsidRDefault="005E51E5" w:rsidP="00F712AA">
      <w:pPr>
        <w:pStyle w:val="BodyText"/>
        <w:spacing w:after="0" w:line="360" w:lineRule="auto"/>
        <w:ind w:right="49" w:firstLine="708"/>
        <w:rPr>
          <w:bCs/>
          <w:lang w:val="id-ID"/>
        </w:rPr>
      </w:pPr>
      <w:r w:rsidRPr="00C56BEB">
        <w:rPr>
          <w:bCs/>
          <w:lang w:val="id-ID"/>
        </w:rPr>
        <w:t>The research has practical implications for auditors, companies, and regulators. By identifying factors contributing to audit delays, this study aims to provide insights that enhance audit timeliness, improve compliance with regulatory deadlines, and strengthen investor confidence. For example, understanding how operational complexity or financial distress influences delays can guide auditors and companies in adopting more effective s</w:t>
      </w:r>
      <w:r>
        <w:rPr>
          <w:bCs/>
          <w:lang w:val="id-ID"/>
        </w:rPr>
        <w:t>trategies for timely reporting.</w:t>
      </w:r>
    </w:p>
    <w:p w14:paraId="60BE3249" w14:textId="77777777" w:rsidR="005E51E5" w:rsidRPr="00C56BEB" w:rsidRDefault="005E51E5" w:rsidP="00F712AA">
      <w:pPr>
        <w:pStyle w:val="BodyText"/>
        <w:spacing w:after="0" w:line="360" w:lineRule="auto"/>
        <w:ind w:right="49" w:firstLine="708"/>
        <w:rPr>
          <w:bCs/>
          <w:lang w:val="id-ID"/>
        </w:rPr>
      </w:pPr>
      <w:r w:rsidRPr="00C56BEB">
        <w:rPr>
          <w:bCs/>
          <w:lang w:val="id-ID"/>
        </w:rPr>
        <w:t xml:space="preserve">Methodologically, the study employs quantitative analysis using regression models to assess the impact of the identified factors on audit delays. Data is sourced from annual reports of IDX-listed mining companies, </w:t>
      </w:r>
      <w:r>
        <w:rPr>
          <w:bCs/>
          <w:lang w:val="id-ID"/>
        </w:rPr>
        <w:t xml:space="preserve">and </w:t>
      </w:r>
      <w:r w:rsidRPr="00C56BEB">
        <w:rPr>
          <w:bCs/>
          <w:lang w:val="id-ID"/>
        </w:rPr>
        <w:t>filtered to include those meeting specific criteria. By incorporating insights from international studies on audit delays, especially during the pandemic, this research also aims to draw comparisons that contextualize the challenges faced by Indonesian compa</w:t>
      </w:r>
      <w:r>
        <w:rPr>
          <w:bCs/>
          <w:lang w:val="id-ID"/>
        </w:rPr>
        <w:t>nies within a global framework.</w:t>
      </w:r>
    </w:p>
    <w:p w14:paraId="7B9BFBD9" w14:textId="77777777" w:rsidR="005E51E5" w:rsidRPr="00C25D72" w:rsidRDefault="005E51E5" w:rsidP="00F712AA">
      <w:pPr>
        <w:pStyle w:val="BodyText"/>
        <w:spacing w:after="0" w:line="360" w:lineRule="auto"/>
        <w:ind w:right="49" w:firstLine="708"/>
        <w:rPr>
          <w:bCs/>
        </w:rPr>
      </w:pPr>
      <w:r w:rsidRPr="00C56BEB">
        <w:rPr>
          <w:bCs/>
          <w:lang w:val="id-ID"/>
        </w:rPr>
        <w:t>In conclusion, this study contributes to academic discourse by addressing gaps in the literature on audit delays and offering practical recommendations for stakeholders. It seeks to enhance understanding of how crises like the COVID-19 pandemic amplify challenges in financial reporting, particularly within the mining sector, and to provide actionable insight</w:t>
      </w:r>
      <w:r>
        <w:rPr>
          <w:bCs/>
          <w:lang w:val="id-ID"/>
        </w:rPr>
        <w:t>s for improving audit processes</w:t>
      </w:r>
      <w:r w:rsidRPr="00624319">
        <w:rPr>
          <w:bCs/>
          <w:lang w:val="id-ID"/>
        </w:rPr>
        <w:t>.</w:t>
      </w:r>
    </w:p>
    <w:p w14:paraId="4CE28F33" w14:textId="77777777" w:rsidR="00FF6CDE" w:rsidRPr="00A66930" w:rsidRDefault="00FF6CDE" w:rsidP="00FF6CDE">
      <w:pPr>
        <w:pStyle w:val="BodyText"/>
        <w:spacing w:after="0" w:line="240" w:lineRule="auto"/>
        <w:ind w:right="49" w:firstLine="708"/>
        <w:rPr>
          <w:bCs/>
        </w:rPr>
      </w:pPr>
    </w:p>
    <w:p w14:paraId="7F9CF4CD" w14:textId="7EDBC0FA" w:rsidR="003A7D68" w:rsidRDefault="003A7D68" w:rsidP="003A7D68">
      <w:pPr>
        <w:spacing w:after="0" w:line="360" w:lineRule="auto"/>
        <w:rPr>
          <w:b/>
        </w:rPr>
      </w:pPr>
      <w:r>
        <w:rPr>
          <w:b/>
        </w:rPr>
        <w:t>REVIEW OF LITERATURE</w:t>
      </w:r>
    </w:p>
    <w:p w14:paraId="778D4BF3" w14:textId="77777777" w:rsidR="00F712AA" w:rsidRPr="00693FAF" w:rsidRDefault="00F712AA" w:rsidP="00F712AA">
      <w:pPr>
        <w:pStyle w:val="BodyText"/>
        <w:spacing w:after="0" w:line="360" w:lineRule="auto"/>
        <w:ind w:right="49" w:firstLine="708"/>
        <w:rPr>
          <w:bCs/>
        </w:rPr>
      </w:pPr>
      <w:r w:rsidRPr="00840E53">
        <w:rPr>
          <w:bCs/>
        </w:rPr>
        <w:t xml:space="preserve">Agency theory is a foundational concept that explains conflicts of interest between managers (agents) and shareholders (principals), leading to agency costs (Eisenhardt, 1989). These conflicts can manifest in inefficiencies in financial reporting, as managers may prioritize their interests, delaying the disclosure of financial information to investors. This inefficiency can increase the likelihood of audit delays. For instance, a lack of transparency or intentional withholding of financial data may require auditors to perform more extensive verification, prolonging the audit process. While Eisenhardt (1989) provides a seminal foundation, integrating more recent research that applies agency theory to audit delay, such </w:t>
      </w:r>
      <w:r w:rsidRPr="00840E53">
        <w:rPr>
          <w:bCs/>
        </w:rPr>
        <w:lastRenderedPageBreak/>
        <w:t>as studies examining how agency costs impact the timeliness of financial reporting, would strengthen this section</w:t>
      </w:r>
      <w:r w:rsidRPr="00693FAF">
        <w:rPr>
          <w:bCs/>
        </w:rPr>
        <w:t>.</w:t>
      </w:r>
    </w:p>
    <w:p w14:paraId="02A7A609" w14:textId="77777777" w:rsidR="00F712AA" w:rsidRDefault="00F712AA" w:rsidP="00F712AA">
      <w:pPr>
        <w:pStyle w:val="Heading1"/>
        <w:ind w:right="49"/>
      </w:pPr>
      <w:r>
        <w:t>Audit Delay</w:t>
      </w:r>
    </w:p>
    <w:p w14:paraId="74996B60" w14:textId="77777777" w:rsidR="00F712AA" w:rsidRPr="00693FAF" w:rsidRDefault="00F712AA" w:rsidP="00F712AA">
      <w:pPr>
        <w:pStyle w:val="BodyText"/>
        <w:spacing w:after="0" w:line="360" w:lineRule="auto"/>
        <w:ind w:right="49" w:firstLine="708"/>
        <w:rPr>
          <w:bCs/>
        </w:rPr>
      </w:pPr>
      <w:r w:rsidRPr="00840E53">
        <w:rPr>
          <w:bCs/>
        </w:rPr>
        <w:t>Audit delay occurs when a company’s financial reports are issued later than the prescribed deadline, usually awaiting the completion of the audit process (Marinda et al., 2023). Multiple factors contribute to audit delays, including the availability of necessary documents, the complexity of financial transactions, and the need for additional information from the company (</w:t>
      </w:r>
      <w:proofErr w:type="spellStart"/>
      <w:r w:rsidRPr="00840E53">
        <w:rPr>
          <w:bCs/>
        </w:rPr>
        <w:t>Yuliusman</w:t>
      </w:r>
      <w:proofErr w:type="spellEnd"/>
      <w:r w:rsidRPr="00840E53">
        <w:rPr>
          <w:bCs/>
        </w:rPr>
        <w:t xml:space="preserve"> et al., 2020). Furthermore, events like the COVID-19 pandemic have introduced new challenges, such as remote auditing, which has increased audit durations in many sectors. Incorporating insights from recent studies on audit delays during the pandemic could provide a broader understanding of contemporary c</w:t>
      </w:r>
      <w:r>
        <w:rPr>
          <w:bCs/>
        </w:rPr>
        <w:t>hallenges in auditing practices</w:t>
      </w:r>
      <w:r w:rsidRPr="00693FAF">
        <w:rPr>
          <w:bCs/>
        </w:rPr>
        <w:t>.</w:t>
      </w:r>
    </w:p>
    <w:p w14:paraId="3CB9465A" w14:textId="77777777" w:rsidR="00F712AA" w:rsidRDefault="00F712AA" w:rsidP="00F712AA">
      <w:pPr>
        <w:pStyle w:val="Heading1"/>
        <w:ind w:right="49"/>
      </w:pPr>
      <w:r w:rsidRPr="0044342F">
        <w:t>Company Operational Complexity</w:t>
      </w:r>
    </w:p>
    <w:p w14:paraId="2ACCBAA5" w14:textId="77777777" w:rsidR="00F712AA" w:rsidRPr="00693FAF" w:rsidRDefault="00F712AA" w:rsidP="00F712AA">
      <w:pPr>
        <w:pStyle w:val="BodyText"/>
        <w:spacing w:after="0" w:line="360" w:lineRule="auto"/>
        <w:ind w:right="49" w:firstLine="708"/>
        <w:rPr>
          <w:bCs/>
        </w:rPr>
      </w:pPr>
      <w:r w:rsidRPr="00840E53">
        <w:rPr>
          <w:bCs/>
          <w:lang w:val="id-ID"/>
        </w:rPr>
        <w:t>Operational complexity arises from a company’s structure, including the number of subsidiaries, intercompany transactions, and specialized departments, all of which can impact the auditing process (Muna &amp; Lisiantara, 2021). For example, a company with numerous subsidiaries requires auditors to consolidate financial statements from multiple entities, increasing the time needed for review. Operational complexity may also result in heightened scrutiny of intercompany transactions and compliance with reporting standards, further extending audit delays. Recent studies on operational complexity in the context of globalization and technological advancements could provide additional insights into how complexity evolves and impacts audit timelines</w:t>
      </w:r>
      <w:r w:rsidRPr="00693FAF">
        <w:rPr>
          <w:bCs/>
        </w:rPr>
        <w:t>.</w:t>
      </w:r>
    </w:p>
    <w:p w14:paraId="0B211E84" w14:textId="77777777" w:rsidR="00F712AA" w:rsidRDefault="00F712AA" w:rsidP="00F712AA">
      <w:pPr>
        <w:pStyle w:val="Heading1"/>
        <w:ind w:right="49"/>
      </w:pPr>
      <w:r>
        <w:t>Profitability</w:t>
      </w:r>
    </w:p>
    <w:p w14:paraId="109C67E0" w14:textId="77777777" w:rsidR="00F712AA" w:rsidRDefault="00F712AA" w:rsidP="00F712AA">
      <w:pPr>
        <w:pStyle w:val="BodyText"/>
        <w:spacing w:after="0" w:line="360" w:lineRule="auto"/>
        <w:ind w:right="49" w:firstLine="708"/>
        <w:rPr>
          <w:bCs/>
        </w:rPr>
      </w:pPr>
      <w:r w:rsidRPr="00840E53">
        <w:rPr>
          <w:bCs/>
        </w:rPr>
        <w:t>High profitability indicates strong financial performance, often leading to shorter audit durations, as these companies typically have streamlined reporting processes and better internal controls (</w:t>
      </w:r>
      <w:proofErr w:type="spellStart"/>
      <w:r w:rsidRPr="00840E53">
        <w:rPr>
          <w:bCs/>
        </w:rPr>
        <w:t>Bahri</w:t>
      </w:r>
      <w:proofErr w:type="spellEnd"/>
      <w:r w:rsidRPr="00840E53">
        <w:rPr>
          <w:bCs/>
        </w:rPr>
        <w:t xml:space="preserve"> &amp; </w:t>
      </w:r>
      <w:proofErr w:type="spellStart"/>
      <w:r w:rsidRPr="00840E53">
        <w:rPr>
          <w:bCs/>
        </w:rPr>
        <w:t>Amnia</w:t>
      </w:r>
      <w:proofErr w:type="spellEnd"/>
      <w:r w:rsidRPr="00840E53">
        <w:rPr>
          <w:bCs/>
        </w:rPr>
        <w:t xml:space="preserve">, 2020). However, very high profitability can attract greater scrutiny, especially regarding tax implications or complex financial transactions, potentially prolonging audits (Sari &amp; </w:t>
      </w:r>
      <w:proofErr w:type="spellStart"/>
      <w:r w:rsidRPr="00840E53">
        <w:rPr>
          <w:bCs/>
        </w:rPr>
        <w:t>Arif</w:t>
      </w:r>
      <w:proofErr w:type="spellEnd"/>
      <w:r w:rsidRPr="00840E53">
        <w:rPr>
          <w:bCs/>
        </w:rPr>
        <w:t>, 2021). Providing a nuanced discussion that</w:t>
      </w:r>
      <w:r>
        <w:rPr>
          <w:bCs/>
        </w:rPr>
        <w:t xml:space="preserve"> acknowledges both perspectives on </w:t>
      </w:r>
      <w:r w:rsidRPr="00840E53">
        <w:rPr>
          <w:bCs/>
        </w:rPr>
        <w:t xml:space="preserve">how profitability can either </w:t>
      </w:r>
      <w:r>
        <w:rPr>
          <w:bCs/>
        </w:rPr>
        <w:t xml:space="preserve">reduce or increase audit delays </w:t>
      </w:r>
      <w:r w:rsidRPr="00840E53">
        <w:rPr>
          <w:bCs/>
        </w:rPr>
        <w:t>would offer a balanced view</w:t>
      </w:r>
      <w:r w:rsidRPr="00693FAF">
        <w:rPr>
          <w:bCs/>
        </w:rPr>
        <w:t>.</w:t>
      </w:r>
    </w:p>
    <w:p w14:paraId="5B49BF82" w14:textId="77777777" w:rsidR="00F712AA" w:rsidRDefault="00F712AA" w:rsidP="00F712AA">
      <w:pPr>
        <w:pStyle w:val="BodyText"/>
        <w:spacing w:after="0" w:line="360" w:lineRule="auto"/>
        <w:ind w:right="49"/>
        <w:rPr>
          <w:b/>
        </w:rPr>
      </w:pPr>
      <w:r>
        <w:rPr>
          <w:b/>
        </w:rPr>
        <w:lastRenderedPageBreak/>
        <w:t>Solvency</w:t>
      </w:r>
    </w:p>
    <w:p w14:paraId="3744D4D7" w14:textId="77777777" w:rsidR="00F712AA" w:rsidRPr="00624319" w:rsidRDefault="00F712AA" w:rsidP="00F712AA">
      <w:pPr>
        <w:pStyle w:val="BodyText"/>
        <w:spacing w:after="0" w:line="360" w:lineRule="auto"/>
        <w:ind w:right="49" w:firstLine="708"/>
        <w:rPr>
          <w:bCs/>
          <w:lang w:val="id-ID"/>
        </w:rPr>
      </w:pPr>
      <w:r w:rsidRPr="00840E53">
        <w:rPr>
          <w:bCs/>
        </w:rPr>
        <w:t>Solvency, commonly measured by the debt-equity ratio (DER), reflects a company’s ability to meet its financial obligations. High DER indicates greater financial risk, prompting auditors to perform thorough examinations to evaluate a company’s ability to avoid default (</w:t>
      </w:r>
      <w:proofErr w:type="spellStart"/>
      <w:r w:rsidRPr="00840E53">
        <w:rPr>
          <w:bCs/>
        </w:rPr>
        <w:t>Yuliusman</w:t>
      </w:r>
      <w:proofErr w:type="spellEnd"/>
      <w:r w:rsidRPr="00840E53">
        <w:rPr>
          <w:bCs/>
        </w:rPr>
        <w:t xml:space="preserve"> et al., 2020). This includes assessing debt covenants and potential asset impairments, tasks that inherently extend audit timelines. Recent research on solvency challenges, particularly during economic downturns or the post-pandemic recovery period, would provide valu</w:t>
      </w:r>
      <w:r>
        <w:rPr>
          <w:bCs/>
        </w:rPr>
        <w:t>able context to this discussion.</w:t>
      </w:r>
    </w:p>
    <w:p w14:paraId="66A6042F" w14:textId="77777777" w:rsidR="00F712AA" w:rsidRDefault="00F712AA" w:rsidP="00F712AA">
      <w:pPr>
        <w:pStyle w:val="BodyText"/>
        <w:spacing w:after="0" w:line="360" w:lineRule="auto"/>
        <w:ind w:right="49"/>
        <w:rPr>
          <w:b/>
        </w:rPr>
      </w:pPr>
      <w:r>
        <w:rPr>
          <w:b/>
        </w:rPr>
        <w:t>Audit Tenure</w:t>
      </w:r>
    </w:p>
    <w:p w14:paraId="09FB753D" w14:textId="77777777" w:rsidR="00F712AA" w:rsidRDefault="00F712AA" w:rsidP="00F712AA">
      <w:pPr>
        <w:pStyle w:val="BodyText"/>
        <w:spacing w:after="0" w:line="360" w:lineRule="auto"/>
        <w:ind w:right="49" w:firstLine="708"/>
        <w:rPr>
          <w:bCs/>
        </w:rPr>
      </w:pPr>
      <w:r w:rsidRPr="00840E53">
        <w:rPr>
          <w:bCs/>
        </w:rPr>
        <w:t xml:space="preserve">Audit tenure refers to the length of the relationship between an auditor and a client. Longer tenure allows auditors to gain familiarity with a client’s financial systems, which can reduce audit time. However, extended tenure may compromise auditor independence, leading to a need for more rigorous procedures to maintain audit quality (Putra &amp; </w:t>
      </w:r>
      <w:proofErr w:type="spellStart"/>
      <w:r w:rsidRPr="00840E53">
        <w:rPr>
          <w:bCs/>
        </w:rPr>
        <w:t>Purnamawati</w:t>
      </w:r>
      <w:proofErr w:type="spellEnd"/>
      <w:r w:rsidRPr="00840E53">
        <w:rPr>
          <w:bCs/>
        </w:rPr>
        <w:t>, 2021). Expanding on how diminished independe</w:t>
      </w:r>
      <w:r>
        <w:rPr>
          <w:bCs/>
        </w:rPr>
        <w:t xml:space="preserve">nce can result in longer audits </w:t>
      </w:r>
      <w:r w:rsidRPr="00840E53">
        <w:rPr>
          <w:bCs/>
        </w:rPr>
        <w:t>such as the potential for overlooked red flags o</w:t>
      </w:r>
      <w:r>
        <w:rPr>
          <w:bCs/>
        </w:rPr>
        <w:t xml:space="preserve">r increased regulatory scrutiny </w:t>
      </w:r>
      <w:r w:rsidRPr="00840E53">
        <w:rPr>
          <w:bCs/>
        </w:rPr>
        <w:t>would strengthen the discussion. Incorporating recent studies from the post-SOX era or those examining the impact of mandatory audit rotation could add depth</w:t>
      </w:r>
      <w:r>
        <w:rPr>
          <w:bCs/>
        </w:rPr>
        <w:t>.</w:t>
      </w:r>
    </w:p>
    <w:p w14:paraId="0ECD69CC" w14:textId="77777777" w:rsidR="00F712AA" w:rsidRDefault="00F712AA" w:rsidP="00F712AA">
      <w:pPr>
        <w:pStyle w:val="BodyText"/>
        <w:spacing w:after="0" w:line="360" w:lineRule="auto"/>
        <w:ind w:right="49"/>
        <w:rPr>
          <w:b/>
        </w:rPr>
      </w:pPr>
      <w:r>
        <w:rPr>
          <w:b/>
        </w:rPr>
        <w:t>Financial Distress</w:t>
      </w:r>
    </w:p>
    <w:p w14:paraId="79607945" w14:textId="77777777" w:rsidR="00F712AA" w:rsidRDefault="00F712AA" w:rsidP="00F712AA">
      <w:pPr>
        <w:pStyle w:val="BodyText"/>
        <w:spacing w:after="0" w:line="360" w:lineRule="auto"/>
        <w:ind w:right="49" w:firstLine="708"/>
        <w:rPr>
          <w:bCs/>
        </w:rPr>
      </w:pPr>
      <w:r w:rsidRPr="00095110">
        <w:rPr>
          <w:bCs/>
        </w:rPr>
        <w:t xml:space="preserve">Financial distress occurs when a company faces severe financial challenges, potentially threatening its operations (Angelia &amp; </w:t>
      </w:r>
      <w:proofErr w:type="spellStart"/>
      <w:r w:rsidRPr="00095110">
        <w:rPr>
          <w:bCs/>
        </w:rPr>
        <w:t>Mawardi</w:t>
      </w:r>
      <w:proofErr w:type="spellEnd"/>
      <w:r w:rsidRPr="00095110">
        <w:rPr>
          <w:bCs/>
        </w:rPr>
        <w:t>, 2021). Auditors must exercise heightened judgment when evaluating companies in financial distress, including assessments of going-concern assumptions, litigation risks, and potential asset impairments. These evaluations demand additional time and effort, contributing to audit delays. Recent literature examining financial distress during periods of economic uncertainty, such as the post-pandemic era, could enhance the rele</w:t>
      </w:r>
      <w:r>
        <w:rPr>
          <w:bCs/>
        </w:rPr>
        <w:t>vance and depth of this section</w:t>
      </w:r>
      <w:r w:rsidRPr="008931C5">
        <w:rPr>
          <w:bCs/>
        </w:rPr>
        <w:t>.</w:t>
      </w:r>
    </w:p>
    <w:p w14:paraId="051934D2" w14:textId="77777777" w:rsidR="00F712AA" w:rsidRDefault="00F712AA" w:rsidP="00F712AA">
      <w:pPr>
        <w:pStyle w:val="BodyText"/>
        <w:spacing w:after="0" w:line="360" w:lineRule="auto"/>
        <w:ind w:right="49"/>
        <w:rPr>
          <w:b/>
        </w:rPr>
      </w:pPr>
      <w:r w:rsidRPr="008931C5">
        <w:rPr>
          <w:b/>
        </w:rPr>
        <w:t>Hypothesis Development</w:t>
      </w:r>
    </w:p>
    <w:p w14:paraId="330C0D5E" w14:textId="77777777" w:rsidR="00F712AA" w:rsidRPr="00904588" w:rsidRDefault="00F712AA" w:rsidP="00F712AA">
      <w:pPr>
        <w:pStyle w:val="BodyText"/>
        <w:spacing w:after="0" w:line="360" w:lineRule="auto"/>
        <w:ind w:right="49" w:firstLine="708"/>
        <w:rPr>
          <w:b/>
          <w:bCs/>
          <w:lang w:val="id-ID"/>
        </w:rPr>
      </w:pPr>
      <w:r w:rsidRPr="00095110">
        <w:rPr>
          <w:bCs/>
        </w:rPr>
        <w:t>The hypotheses for this study are formulated based on the theoretical framework and previous research findings</w:t>
      </w:r>
      <w:r w:rsidRPr="00904588">
        <w:rPr>
          <w:bCs/>
        </w:rPr>
        <w:t>:</w:t>
      </w:r>
    </w:p>
    <w:p w14:paraId="7069A803" w14:textId="77777777" w:rsidR="00F712AA" w:rsidRPr="00904588" w:rsidRDefault="00F712AA" w:rsidP="00F712AA">
      <w:pPr>
        <w:pStyle w:val="BodyText"/>
        <w:spacing w:after="0" w:line="360" w:lineRule="auto"/>
        <w:ind w:right="49"/>
        <w:rPr>
          <w:b/>
          <w:bCs/>
        </w:rPr>
      </w:pPr>
      <w:r w:rsidRPr="008931C5">
        <w:rPr>
          <w:b/>
          <w:bCs/>
        </w:rPr>
        <w:t>The Effect of Company Oper</w:t>
      </w:r>
      <w:r>
        <w:rPr>
          <w:b/>
          <w:bCs/>
        </w:rPr>
        <w:t>ational Complexity on Audit Delay</w:t>
      </w:r>
    </w:p>
    <w:p w14:paraId="205F6544" w14:textId="77777777" w:rsidR="00F712AA" w:rsidRPr="008931C5" w:rsidRDefault="00F712AA" w:rsidP="00F712AA">
      <w:pPr>
        <w:pStyle w:val="BodyText"/>
        <w:spacing w:after="0" w:line="360" w:lineRule="auto"/>
        <w:ind w:right="49" w:firstLine="708"/>
        <w:rPr>
          <w:bCs/>
        </w:rPr>
      </w:pPr>
      <w:r w:rsidRPr="00095110">
        <w:rPr>
          <w:bCs/>
        </w:rPr>
        <w:lastRenderedPageBreak/>
        <w:t>Operational complexity increases the time required for audits due to the need to review consolidated financial statements and intercompany tr</w:t>
      </w:r>
      <w:r>
        <w:rPr>
          <w:bCs/>
        </w:rPr>
        <w:t>ansactions (</w:t>
      </w:r>
      <w:proofErr w:type="spellStart"/>
      <w:r>
        <w:rPr>
          <w:bCs/>
        </w:rPr>
        <w:t>Hilal</w:t>
      </w:r>
      <w:proofErr w:type="spellEnd"/>
      <w:r>
        <w:rPr>
          <w:bCs/>
        </w:rPr>
        <w:t xml:space="preserve"> et al., 2022)</w:t>
      </w:r>
      <w:r w:rsidRPr="008931C5">
        <w:rPr>
          <w:bCs/>
        </w:rPr>
        <w:t>:</w:t>
      </w:r>
    </w:p>
    <w:p w14:paraId="06BCA405" w14:textId="77777777" w:rsidR="00F712AA" w:rsidRPr="008931C5" w:rsidRDefault="00F712AA" w:rsidP="00F712AA">
      <w:pPr>
        <w:pStyle w:val="BodyText"/>
        <w:spacing w:after="0" w:line="360" w:lineRule="auto"/>
        <w:ind w:right="49" w:firstLine="560"/>
        <w:rPr>
          <w:bCs/>
        </w:rPr>
      </w:pPr>
      <w:r w:rsidRPr="008931C5">
        <w:rPr>
          <w:bCs/>
        </w:rPr>
        <w:t xml:space="preserve">H1: Company operational complexity </w:t>
      </w:r>
      <w:r>
        <w:rPr>
          <w:bCs/>
        </w:rPr>
        <w:t>affects</w:t>
      </w:r>
      <w:r w:rsidRPr="008931C5">
        <w:rPr>
          <w:bCs/>
        </w:rPr>
        <w:t xml:space="preserve"> audit delay.</w:t>
      </w:r>
    </w:p>
    <w:p w14:paraId="0DECFDC8" w14:textId="77777777" w:rsidR="00F712AA" w:rsidRPr="008931C5" w:rsidRDefault="00F712AA" w:rsidP="00F712AA">
      <w:pPr>
        <w:pStyle w:val="BodyText"/>
        <w:spacing w:after="0" w:line="360" w:lineRule="auto"/>
        <w:ind w:right="49"/>
        <w:rPr>
          <w:b/>
          <w:bCs/>
        </w:rPr>
      </w:pPr>
      <w:r w:rsidRPr="008931C5">
        <w:rPr>
          <w:b/>
          <w:bCs/>
        </w:rPr>
        <w:t>The Effect of Profitability on Audit Delay</w:t>
      </w:r>
    </w:p>
    <w:p w14:paraId="57D08A57" w14:textId="77777777" w:rsidR="00F712AA" w:rsidRPr="008E3E4C" w:rsidRDefault="00F712AA" w:rsidP="00F712AA">
      <w:pPr>
        <w:pStyle w:val="BodyText"/>
        <w:spacing w:after="0" w:line="360" w:lineRule="auto"/>
        <w:ind w:right="49" w:firstLine="708"/>
        <w:rPr>
          <w:bCs/>
        </w:rPr>
      </w:pPr>
      <w:r w:rsidRPr="00095110">
        <w:rPr>
          <w:bCs/>
        </w:rPr>
        <w:t>High profitability is associated with better financial management and reduced audit time (Corry</w:t>
      </w:r>
      <w:r>
        <w:rPr>
          <w:bCs/>
        </w:rPr>
        <w:t xml:space="preserve"> </w:t>
      </w:r>
      <w:proofErr w:type="spellStart"/>
      <w:r>
        <w:rPr>
          <w:bCs/>
        </w:rPr>
        <w:t>Kristanti</w:t>
      </w:r>
      <w:proofErr w:type="spellEnd"/>
      <w:r>
        <w:rPr>
          <w:bCs/>
        </w:rPr>
        <w:t xml:space="preserve"> &amp; </w:t>
      </w:r>
      <w:proofErr w:type="spellStart"/>
      <w:r>
        <w:rPr>
          <w:bCs/>
        </w:rPr>
        <w:t>Hadri</w:t>
      </w:r>
      <w:proofErr w:type="spellEnd"/>
      <w:r>
        <w:rPr>
          <w:bCs/>
        </w:rPr>
        <w:t xml:space="preserve"> </w:t>
      </w:r>
      <w:proofErr w:type="spellStart"/>
      <w:r>
        <w:rPr>
          <w:bCs/>
        </w:rPr>
        <w:t>Mulya</w:t>
      </w:r>
      <w:proofErr w:type="spellEnd"/>
      <w:r>
        <w:rPr>
          <w:bCs/>
        </w:rPr>
        <w:t>, 2021)</w:t>
      </w:r>
      <w:r w:rsidRPr="008E3E4C">
        <w:rPr>
          <w:bCs/>
        </w:rPr>
        <w:t xml:space="preserve">:  </w:t>
      </w:r>
    </w:p>
    <w:p w14:paraId="76581DA5" w14:textId="77777777" w:rsidR="00F712AA" w:rsidRPr="008931C5" w:rsidRDefault="00F712AA" w:rsidP="00F712AA">
      <w:pPr>
        <w:pStyle w:val="BodyText"/>
        <w:spacing w:after="0" w:line="360" w:lineRule="auto"/>
        <w:ind w:right="49" w:firstLine="560"/>
        <w:rPr>
          <w:bCs/>
        </w:rPr>
      </w:pPr>
      <w:r w:rsidRPr="008E3E4C">
        <w:rPr>
          <w:bCs/>
        </w:rPr>
        <w:t>H2: Pr</w:t>
      </w:r>
      <w:r>
        <w:rPr>
          <w:bCs/>
        </w:rPr>
        <w:t>ofitability impacts audit delay</w:t>
      </w:r>
      <w:r w:rsidRPr="008931C5">
        <w:rPr>
          <w:bCs/>
        </w:rPr>
        <w:t>.</w:t>
      </w:r>
    </w:p>
    <w:p w14:paraId="2D762E51" w14:textId="77777777" w:rsidR="00F712AA" w:rsidRPr="008931C5" w:rsidRDefault="00F712AA" w:rsidP="00F712AA">
      <w:pPr>
        <w:pStyle w:val="BodyText"/>
        <w:spacing w:after="0" w:line="360" w:lineRule="auto"/>
        <w:ind w:right="49"/>
        <w:rPr>
          <w:b/>
          <w:bCs/>
        </w:rPr>
      </w:pPr>
      <w:r w:rsidRPr="008931C5">
        <w:rPr>
          <w:b/>
          <w:bCs/>
        </w:rPr>
        <w:t>The Effect of Solvency on Audit Delay</w:t>
      </w:r>
    </w:p>
    <w:p w14:paraId="29DB9824" w14:textId="77777777" w:rsidR="00F712AA" w:rsidRPr="008E3E4C" w:rsidRDefault="00F712AA" w:rsidP="00F712AA">
      <w:pPr>
        <w:pStyle w:val="BodyText"/>
        <w:spacing w:after="0" w:line="360" w:lineRule="auto"/>
        <w:ind w:right="49" w:firstLine="708"/>
        <w:rPr>
          <w:bCs/>
        </w:rPr>
      </w:pPr>
      <w:r w:rsidRPr="00095110">
        <w:rPr>
          <w:bCs/>
        </w:rPr>
        <w:t>High DER necessitates more thorough assessments, increasing audit time (</w:t>
      </w:r>
      <w:proofErr w:type="spellStart"/>
      <w:r w:rsidRPr="00095110">
        <w:rPr>
          <w:bCs/>
        </w:rPr>
        <w:t>Septi</w:t>
      </w:r>
      <w:proofErr w:type="spellEnd"/>
      <w:r w:rsidRPr="00095110">
        <w:rPr>
          <w:bCs/>
        </w:rPr>
        <w:t xml:space="preserve"> &amp; </w:t>
      </w:r>
      <w:proofErr w:type="spellStart"/>
      <w:r w:rsidRPr="00095110">
        <w:rPr>
          <w:bCs/>
        </w:rPr>
        <w:t>Suyatmin</w:t>
      </w:r>
      <w:proofErr w:type="spellEnd"/>
      <w:r w:rsidRPr="00095110">
        <w:rPr>
          <w:bCs/>
        </w:rPr>
        <w:t>, 2024):</w:t>
      </w:r>
      <w:r w:rsidRPr="008E3E4C">
        <w:rPr>
          <w:bCs/>
        </w:rPr>
        <w:t xml:space="preserve">  </w:t>
      </w:r>
    </w:p>
    <w:p w14:paraId="68687830" w14:textId="77777777" w:rsidR="00F712AA" w:rsidRPr="008931C5" w:rsidRDefault="00F712AA" w:rsidP="00F712AA">
      <w:pPr>
        <w:pStyle w:val="BodyText"/>
        <w:spacing w:after="0" w:line="360" w:lineRule="auto"/>
        <w:ind w:right="49" w:firstLine="560"/>
        <w:rPr>
          <w:bCs/>
        </w:rPr>
      </w:pPr>
      <w:r w:rsidRPr="008E3E4C">
        <w:rPr>
          <w:bCs/>
        </w:rPr>
        <w:t>H3: Solvency impacts audit delay.</w:t>
      </w:r>
    </w:p>
    <w:p w14:paraId="0AD7C4D9" w14:textId="77777777" w:rsidR="00F712AA" w:rsidRPr="008931C5" w:rsidRDefault="00F712AA" w:rsidP="00F712AA">
      <w:pPr>
        <w:pStyle w:val="BodyText"/>
        <w:spacing w:after="0" w:line="360" w:lineRule="auto"/>
        <w:ind w:right="49"/>
        <w:rPr>
          <w:b/>
          <w:bCs/>
        </w:rPr>
      </w:pPr>
      <w:r w:rsidRPr="008E3E4C">
        <w:rPr>
          <w:b/>
          <w:bCs/>
        </w:rPr>
        <w:t>The Impact of Audit Ten</w:t>
      </w:r>
      <w:r>
        <w:rPr>
          <w:b/>
          <w:bCs/>
        </w:rPr>
        <w:t>ure on Audit Dela</w:t>
      </w:r>
      <w:r w:rsidRPr="008931C5">
        <w:rPr>
          <w:b/>
          <w:bCs/>
        </w:rPr>
        <w:t>y</w:t>
      </w:r>
    </w:p>
    <w:p w14:paraId="12A77288" w14:textId="77777777" w:rsidR="00F712AA" w:rsidRPr="008E3E4C" w:rsidRDefault="00F712AA" w:rsidP="00F712AA">
      <w:pPr>
        <w:pStyle w:val="BodyText"/>
        <w:spacing w:after="0" w:line="360" w:lineRule="auto"/>
        <w:ind w:right="49" w:firstLine="708"/>
        <w:rPr>
          <w:bCs/>
        </w:rPr>
      </w:pPr>
      <w:r w:rsidRPr="00095110">
        <w:rPr>
          <w:bCs/>
        </w:rPr>
        <w:t>Familiarity due to longer tenure can reduce audit time, but potential independence issues may</w:t>
      </w:r>
      <w:r>
        <w:rPr>
          <w:bCs/>
        </w:rPr>
        <w:t xml:space="preserve"> extend it (Elena et al., 2024)</w:t>
      </w:r>
      <w:r w:rsidRPr="008E3E4C">
        <w:rPr>
          <w:bCs/>
        </w:rPr>
        <w:t>:</w:t>
      </w:r>
    </w:p>
    <w:p w14:paraId="3CE179A3" w14:textId="77777777" w:rsidR="00F712AA" w:rsidRPr="008931C5" w:rsidRDefault="00F712AA" w:rsidP="00F712AA">
      <w:pPr>
        <w:pStyle w:val="BodyText"/>
        <w:spacing w:after="0" w:line="360" w:lineRule="auto"/>
        <w:ind w:right="49" w:firstLine="560"/>
        <w:rPr>
          <w:bCs/>
        </w:rPr>
      </w:pPr>
      <w:r w:rsidRPr="008E3E4C">
        <w:rPr>
          <w:bCs/>
        </w:rPr>
        <w:t>H4: Audit tenure impacts audit delay.</w:t>
      </w:r>
    </w:p>
    <w:p w14:paraId="31043ED4" w14:textId="77777777" w:rsidR="00F712AA" w:rsidRPr="008931C5" w:rsidRDefault="00F712AA" w:rsidP="00F712AA">
      <w:pPr>
        <w:pStyle w:val="BodyText"/>
        <w:spacing w:after="0" w:line="360" w:lineRule="auto"/>
        <w:ind w:right="49"/>
        <w:rPr>
          <w:b/>
          <w:bCs/>
        </w:rPr>
      </w:pPr>
      <w:r w:rsidRPr="008D0364">
        <w:rPr>
          <w:b/>
          <w:bCs/>
        </w:rPr>
        <w:t>The Impact of Financial Distress on Audit Delay</w:t>
      </w:r>
    </w:p>
    <w:p w14:paraId="0AEB11FA" w14:textId="77777777" w:rsidR="00F712AA" w:rsidRPr="008D0364" w:rsidRDefault="00F712AA" w:rsidP="00F712AA">
      <w:pPr>
        <w:pStyle w:val="BodyText"/>
        <w:spacing w:after="0" w:line="360" w:lineRule="auto"/>
        <w:ind w:right="49" w:firstLine="708"/>
        <w:rPr>
          <w:bCs/>
        </w:rPr>
      </w:pPr>
      <w:r w:rsidRPr="00095110">
        <w:rPr>
          <w:bCs/>
        </w:rPr>
        <w:t>Financial distress demands rigorous evaluations of a company’s financial viability, extending audit time (</w:t>
      </w:r>
      <w:proofErr w:type="spellStart"/>
      <w:r w:rsidRPr="00095110">
        <w:rPr>
          <w:bCs/>
        </w:rPr>
        <w:t>Sylvi</w:t>
      </w:r>
      <w:proofErr w:type="spellEnd"/>
      <w:r w:rsidRPr="00095110">
        <w:rPr>
          <w:bCs/>
        </w:rPr>
        <w:t xml:space="preserve"> &amp; </w:t>
      </w:r>
      <w:proofErr w:type="spellStart"/>
      <w:r w:rsidRPr="00095110">
        <w:rPr>
          <w:bCs/>
        </w:rPr>
        <w:t>Mawardi</w:t>
      </w:r>
      <w:proofErr w:type="spellEnd"/>
      <w:r w:rsidRPr="00095110">
        <w:rPr>
          <w:bCs/>
        </w:rPr>
        <w:t>, 2021)</w:t>
      </w:r>
      <w:r w:rsidRPr="008D0364">
        <w:rPr>
          <w:bCs/>
        </w:rPr>
        <w:t>:</w:t>
      </w:r>
    </w:p>
    <w:p w14:paraId="771D57D1" w14:textId="77777777" w:rsidR="00F712AA" w:rsidRPr="00904588" w:rsidRDefault="00F712AA" w:rsidP="00F712AA">
      <w:pPr>
        <w:pStyle w:val="BodyText"/>
        <w:spacing w:after="0" w:line="360" w:lineRule="auto"/>
        <w:ind w:right="49" w:firstLine="560"/>
        <w:rPr>
          <w:bCs/>
        </w:rPr>
      </w:pPr>
      <w:r w:rsidRPr="008D0364">
        <w:rPr>
          <w:bCs/>
        </w:rPr>
        <w:t>H5: Financial distress affects audit delay</w:t>
      </w:r>
      <w:r w:rsidRPr="00904588">
        <w:rPr>
          <w:bCs/>
          <w:lang w:val="id-ID"/>
        </w:rPr>
        <w:t>.</w:t>
      </w:r>
    </w:p>
    <w:p w14:paraId="0BEC343E" w14:textId="77777777" w:rsidR="003A7D68" w:rsidRDefault="003A7D68" w:rsidP="003A7D68">
      <w:pPr>
        <w:spacing w:after="0" w:line="240" w:lineRule="auto"/>
        <w:ind w:right="49"/>
        <w:jc w:val="lowKashida"/>
        <w:rPr>
          <w:rFonts w:asciiTheme="majorBidi" w:hAnsiTheme="majorBidi" w:cstheme="majorBidi"/>
          <w:b/>
          <w:iCs/>
          <w:szCs w:val="24"/>
        </w:rPr>
      </w:pPr>
    </w:p>
    <w:p w14:paraId="10689070" w14:textId="4F6C61AE" w:rsidR="00DE3FE5" w:rsidRDefault="00DE3FE5" w:rsidP="00EF6B5D">
      <w:pPr>
        <w:spacing w:after="0" w:line="360" w:lineRule="auto"/>
        <w:ind w:right="49"/>
        <w:jc w:val="lowKashida"/>
        <w:rPr>
          <w:rFonts w:asciiTheme="majorBidi" w:hAnsiTheme="majorBidi" w:cstheme="majorBidi"/>
          <w:b/>
          <w:iCs/>
          <w:szCs w:val="24"/>
        </w:rPr>
      </w:pPr>
      <w:r>
        <w:rPr>
          <w:rFonts w:asciiTheme="majorBidi" w:hAnsiTheme="majorBidi" w:cstheme="majorBidi"/>
          <w:b/>
          <w:iCs/>
          <w:szCs w:val="24"/>
        </w:rPr>
        <w:t>RESEARCH METHOD</w:t>
      </w:r>
    </w:p>
    <w:p w14:paraId="3DFADEC7" w14:textId="77777777" w:rsidR="00F712AA" w:rsidRPr="00095110" w:rsidRDefault="00F712AA" w:rsidP="00F712AA">
      <w:pPr>
        <w:pStyle w:val="BodyText"/>
        <w:spacing w:after="0" w:line="360" w:lineRule="auto"/>
        <w:ind w:right="49" w:firstLine="708"/>
        <w:rPr>
          <w:bCs/>
        </w:rPr>
      </w:pPr>
      <w:bookmarkStart w:id="2" w:name="_Hlk63157894"/>
      <w:r w:rsidRPr="00095110">
        <w:rPr>
          <w:bCs/>
        </w:rPr>
        <w:t>This research employs a descriptive quantitative approach grounded in positivist philosophy, which emphasizes objectivity and the quantification of observable phenomena. The positivist framework is particularly suitable for this study as it aligns with the objective of testing hypotheses about measurable variables, such as operational complexity and profitability. This approach ensures a systematic analysis of the relationships between the independent variables and the dependent variable, allowing for generalizable insights into au</w:t>
      </w:r>
      <w:r>
        <w:rPr>
          <w:bCs/>
        </w:rPr>
        <w:t>dit delays in mining companies.</w:t>
      </w:r>
    </w:p>
    <w:p w14:paraId="5C41573A" w14:textId="77777777" w:rsidR="00F712AA" w:rsidRPr="00095110" w:rsidRDefault="00F712AA" w:rsidP="00F712AA">
      <w:pPr>
        <w:pStyle w:val="BodyText"/>
        <w:spacing w:after="0" w:line="360" w:lineRule="auto"/>
        <w:ind w:right="49" w:firstLine="708"/>
        <w:rPr>
          <w:bCs/>
        </w:rPr>
      </w:pPr>
      <w:r w:rsidRPr="00095110">
        <w:rPr>
          <w:bCs/>
        </w:rPr>
        <w:t xml:space="preserve">The study utilizes secondary data sourced from the annual financial statements of mining companies listed on the Indonesia Stock Exchange (IDX) from 2019 to 2021. Data </w:t>
      </w:r>
      <w:r w:rsidRPr="00095110">
        <w:rPr>
          <w:bCs/>
        </w:rPr>
        <w:lastRenderedPageBreak/>
        <w:t>collection was conducted through documentation obtained from the official websites of the companies and the IDX (www.idx.co.id). The research population comprises all mining companies listed on the IDX during the specified period. Purposive sampling was employed to select the sample, which was deemed the most appropriate method due to the specific inclusion criteria necessary for the study. These criteria include companies that issued annual financial reports within the study timeframe, reported in Indonesian rupiah, had financial statements ending on December 31</w:t>
      </w:r>
      <w:r w:rsidRPr="00F712AA">
        <w:rPr>
          <w:bCs/>
        </w:rPr>
        <w:t>st</w:t>
      </w:r>
      <w:r w:rsidRPr="00095110">
        <w:rPr>
          <w:bCs/>
        </w:rPr>
        <w:t>, and provided complete information required for the research. While purposive sampling may limit generalizability, its use ensures that the selected companies meet the research objectives. The final sample size and the handling of missing data are crucial to the analysis; companies with incomplete reports were exclu</w:t>
      </w:r>
      <w:r>
        <w:rPr>
          <w:bCs/>
        </w:rPr>
        <w:t>ded to maintain data integrity.</w:t>
      </w:r>
    </w:p>
    <w:p w14:paraId="51BC2B3A" w14:textId="77777777" w:rsidR="00F712AA" w:rsidRPr="00095110" w:rsidRDefault="00F712AA" w:rsidP="00F712AA">
      <w:pPr>
        <w:pStyle w:val="BodyText"/>
        <w:spacing w:after="0" w:line="360" w:lineRule="auto"/>
        <w:ind w:right="49" w:firstLine="708"/>
        <w:rPr>
          <w:bCs/>
        </w:rPr>
      </w:pPr>
      <w:r w:rsidRPr="00095110">
        <w:rPr>
          <w:bCs/>
        </w:rPr>
        <w:t>The dependent variable in this study is audit delay, defined as the time elapsed between the book closing date and the audit report issuance. The independent variables include operational complexity, profitability, solvency, audit tenure, and financial distress. Operational complexity is measured using a dummy variable, assigning a value of 1 to companies with subsidiaries and 0 to those without. While this binary measure simplifies the analysis, it may not fully capture the nuances of operational complexity, such as the number of subsidiaries or the intricacies of intercompany transactions. Profitability is assessed via Return on Assets (ROA), solvency is represented by the Debt-to-Equity Ratio (DER), audit tenure reflects the number of years the Public Accounting Firm (PAF) has been engaged with the company, and financial distress is evaluated using the Altman Z-score. These variables were selected based on their theoretical relevance and documented influence on audit delays, providing a comprehensive framework for exa</w:t>
      </w:r>
      <w:r>
        <w:rPr>
          <w:bCs/>
        </w:rPr>
        <w:t>mining the factors under study.</w:t>
      </w:r>
    </w:p>
    <w:p w14:paraId="3AD34423" w14:textId="77777777" w:rsidR="00F712AA" w:rsidRPr="00095110" w:rsidRDefault="00F712AA" w:rsidP="00F712AA">
      <w:pPr>
        <w:pStyle w:val="BodyText"/>
        <w:spacing w:after="0" w:line="360" w:lineRule="auto"/>
        <w:ind w:right="49" w:firstLine="708"/>
        <w:rPr>
          <w:bCs/>
        </w:rPr>
      </w:pPr>
      <w:r w:rsidRPr="00095110">
        <w:rPr>
          <w:bCs/>
        </w:rPr>
        <w:t xml:space="preserve">The data analysis was conducted using SPSS software. Descriptive statistics were first employed to highlight the characteristics of the data. This was followed by classical assumption tests, including assessments of normality, multicollinearity, autocorrelation, and heteroscedasticity. The results of these tests guided subsequent analyses; for instance, if multicollinearity was detected (e.g., variance inflation factor [VIF] &gt; 10), appropriate measures such as removing highly correlated variables or applying alternative techniques would be considered. The primary analysis involved multiple linear regression to evaluate </w:t>
      </w:r>
      <w:r w:rsidRPr="00095110">
        <w:rPr>
          <w:bCs/>
        </w:rPr>
        <w:lastRenderedPageBreak/>
        <w:t>the influence of the independent variables on the dependent variable. Additional robustness checks, such as sensitivity analyses or alternative model specifications, were conducted to ensure the reliability of the findings. Tests of significance, including the coefficient of determination (R²), F-tests, and t-tests, provided insights into the overall and individual effects of the indepen</w:t>
      </w:r>
      <w:r>
        <w:rPr>
          <w:bCs/>
        </w:rPr>
        <w:t>dent variables on audit delays.</w:t>
      </w:r>
    </w:p>
    <w:p w14:paraId="55E9B40D" w14:textId="77777777" w:rsidR="00F712AA" w:rsidRPr="005E644B" w:rsidRDefault="00F712AA" w:rsidP="00F712AA">
      <w:pPr>
        <w:pStyle w:val="BodyText"/>
        <w:spacing w:after="0" w:line="360" w:lineRule="auto"/>
        <w:ind w:right="49" w:firstLine="708"/>
        <w:rPr>
          <w:bCs/>
        </w:rPr>
      </w:pPr>
      <w:r w:rsidRPr="00095110">
        <w:rPr>
          <w:bCs/>
        </w:rPr>
        <w:t>SPSS was selected for its user-friendly interface and robust analytical capabilities, which are well-suited to the statistical techniques required for this study. While alternatives like R or Stata offer advanced functionalities, SPSS was chosen for its efficiency in handling regression analyses and classical assumption tests. Furthermore, the research adhered to ethical standards by utilizing publicly available data, ensuring proper citation of sources, and acknowledging any limitations in data accuracy or completeness. This ethical consideration reinforces the credibilit</w:t>
      </w:r>
      <w:r>
        <w:rPr>
          <w:bCs/>
        </w:rPr>
        <w:t>y of the study and its findings</w:t>
      </w:r>
      <w:r w:rsidRPr="00624319">
        <w:rPr>
          <w:bCs/>
        </w:rPr>
        <w:t>.</w:t>
      </w:r>
    </w:p>
    <w:bookmarkEnd w:id="2"/>
    <w:p w14:paraId="1D3FA9EA" w14:textId="77777777" w:rsidR="003A7D68" w:rsidRPr="00DE3FE5" w:rsidRDefault="003A7D68" w:rsidP="003A7D68">
      <w:pPr>
        <w:spacing w:after="0" w:line="240" w:lineRule="auto"/>
        <w:ind w:right="49"/>
        <w:jc w:val="lowKashida"/>
        <w:rPr>
          <w:rFonts w:asciiTheme="majorBidi" w:hAnsiTheme="majorBidi" w:cstheme="majorBidi"/>
          <w:bCs/>
          <w:iCs/>
          <w:szCs w:val="24"/>
        </w:rPr>
      </w:pPr>
    </w:p>
    <w:p w14:paraId="12907D5B" w14:textId="4938502C" w:rsidR="00EF6B5D" w:rsidRDefault="00EF6B5D" w:rsidP="00EF6B5D">
      <w:pPr>
        <w:spacing w:after="0" w:line="360" w:lineRule="auto"/>
        <w:ind w:right="49"/>
        <w:jc w:val="lowKashida"/>
        <w:rPr>
          <w:bCs/>
        </w:rPr>
      </w:pPr>
      <w:r w:rsidRPr="008C7BE0">
        <w:rPr>
          <w:rFonts w:asciiTheme="majorBidi" w:hAnsiTheme="majorBidi" w:cstheme="majorBidi"/>
          <w:b/>
          <w:iCs/>
          <w:szCs w:val="24"/>
        </w:rPr>
        <w:t>RESULTS AND DISCUSSION</w:t>
      </w:r>
    </w:p>
    <w:p w14:paraId="18D99644" w14:textId="77777777" w:rsidR="00F712AA" w:rsidRDefault="00F712AA" w:rsidP="00F712AA">
      <w:pPr>
        <w:pStyle w:val="BodyText"/>
        <w:spacing w:before="6" w:line="360" w:lineRule="auto"/>
        <w:ind w:right="-93"/>
        <w:rPr>
          <w:bCs/>
        </w:rPr>
      </w:pPr>
      <w:r w:rsidRPr="008931C5">
        <w:rPr>
          <w:b/>
          <w:bCs/>
        </w:rPr>
        <w:t>Object Description and Research</w:t>
      </w:r>
    </w:p>
    <w:p w14:paraId="6E66676C" w14:textId="5C7BDF9A" w:rsidR="00F712AA" w:rsidRPr="00235034" w:rsidRDefault="00F712AA" w:rsidP="00F712AA">
      <w:pPr>
        <w:pStyle w:val="BodyText"/>
        <w:spacing w:after="0" w:line="240" w:lineRule="auto"/>
        <w:ind w:right="-93" w:firstLine="560"/>
        <w:jc w:val="center"/>
        <w:rPr>
          <w:b/>
        </w:rPr>
      </w:pPr>
      <w:bookmarkStart w:id="3" w:name="_Toc181421858"/>
      <w:bookmarkStart w:id="4" w:name="_Toc181421934"/>
      <w:bookmarkStart w:id="5" w:name="_Toc181422574"/>
      <w:bookmarkStart w:id="6" w:name="_Toc181421824"/>
      <w:r w:rsidRPr="00235034">
        <w:rPr>
          <w:b/>
          <w:lang w:val="id-ID"/>
        </w:rPr>
        <w:t>Tabl</w:t>
      </w:r>
      <w:r w:rsidRPr="00235034">
        <w:rPr>
          <w:b/>
        </w:rPr>
        <w:t xml:space="preserve">e </w:t>
      </w:r>
      <w:r w:rsidRPr="00235034">
        <w:rPr>
          <w:b/>
          <w:lang w:val="id-ID"/>
        </w:rPr>
        <w:fldChar w:fldCharType="begin"/>
      </w:r>
      <w:r w:rsidRPr="00235034">
        <w:rPr>
          <w:b/>
          <w:lang w:val="id-ID"/>
        </w:rPr>
        <w:instrText xml:space="preserve"> SEQ Tabel_IV. \* ARABIC </w:instrText>
      </w:r>
      <w:r w:rsidRPr="00235034">
        <w:rPr>
          <w:b/>
          <w:lang w:val="id-ID"/>
        </w:rPr>
        <w:fldChar w:fldCharType="separate"/>
      </w:r>
      <w:r w:rsidRPr="00235034">
        <w:rPr>
          <w:b/>
          <w:noProof/>
          <w:lang w:val="id-ID"/>
        </w:rPr>
        <w:t>1</w:t>
      </w:r>
      <w:bookmarkEnd w:id="3"/>
      <w:bookmarkEnd w:id="4"/>
      <w:bookmarkEnd w:id="5"/>
      <w:r w:rsidRPr="00235034">
        <w:rPr>
          <w:b/>
        </w:rPr>
        <w:fldChar w:fldCharType="end"/>
      </w:r>
      <w:bookmarkEnd w:id="6"/>
    </w:p>
    <w:p w14:paraId="699A8754" w14:textId="77777777" w:rsidR="00F712AA" w:rsidRPr="00235034" w:rsidRDefault="00F712AA" w:rsidP="00F712AA">
      <w:pPr>
        <w:pStyle w:val="BodyText"/>
        <w:spacing w:after="0" w:line="240" w:lineRule="auto"/>
        <w:ind w:right="-93" w:firstLine="560"/>
        <w:jc w:val="center"/>
        <w:rPr>
          <w:b/>
        </w:rPr>
      </w:pPr>
      <w:r w:rsidRPr="00235034">
        <w:rPr>
          <w:b/>
        </w:rPr>
        <w:t>Selection Results with Purposive Sampling</w:t>
      </w:r>
    </w:p>
    <w:tbl>
      <w:tblPr>
        <w:tblStyle w:val="TableGrid"/>
        <w:tblW w:w="7398" w:type="dxa"/>
        <w:tblInd w:w="1422" w:type="dxa"/>
        <w:tblLook w:val="04A0" w:firstRow="1" w:lastRow="0" w:firstColumn="1" w:lastColumn="0" w:noHBand="0" w:noVBand="1"/>
      </w:tblPr>
      <w:tblGrid>
        <w:gridCol w:w="859"/>
        <w:gridCol w:w="4811"/>
        <w:gridCol w:w="1728"/>
      </w:tblGrid>
      <w:tr w:rsidR="00F712AA" w:rsidRPr="00590503" w14:paraId="7778ED1D" w14:textId="77777777" w:rsidTr="00EA63B4">
        <w:trPr>
          <w:trHeight w:val="217"/>
        </w:trPr>
        <w:tc>
          <w:tcPr>
            <w:tcW w:w="859" w:type="dxa"/>
            <w:tcBorders>
              <w:top w:val="single" w:sz="4" w:space="0" w:color="auto"/>
              <w:left w:val="nil"/>
              <w:bottom w:val="single" w:sz="4" w:space="0" w:color="auto"/>
              <w:right w:val="nil"/>
            </w:tcBorders>
          </w:tcPr>
          <w:p w14:paraId="68468D56" w14:textId="77777777" w:rsidR="00F712AA" w:rsidRPr="00590503" w:rsidRDefault="00F712AA" w:rsidP="00F712AA">
            <w:pPr>
              <w:pStyle w:val="TableParagraph"/>
              <w:ind w:right="-93"/>
              <w:jc w:val="both"/>
              <w:rPr>
                <w:w w:val="95"/>
                <w:sz w:val="24"/>
              </w:rPr>
            </w:pPr>
            <w:r w:rsidRPr="00590503">
              <w:rPr>
                <w:w w:val="95"/>
                <w:sz w:val="24"/>
              </w:rPr>
              <w:t>No.</w:t>
            </w:r>
          </w:p>
        </w:tc>
        <w:tc>
          <w:tcPr>
            <w:tcW w:w="4811" w:type="dxa"/>
            <w:tcBorders>
              <w:top w:val="single" w:sz="4" w:space="0" w:color="auto"/>
              <w:left w:val="nil"/>
              <w:bottom w:val="single" w:sz="4" w:space="0" w:color="auto"/>
              <w:right w:val="nil"/>
            </w:tcBorders>
          </w:tcPr>
          <w:p w14:paraId="75A904B0" w14:textId="77777777" w:rsidR="00F712AA" w:rsidRPr="00590503" w:rsidRDefault="00F712AA" w:rsidP="00F712AA">
            <w:pPr>
              <w:pStyle w:val="TableParagraph"/>
              <w:ind w:right="-93"/>
              <w:jc w:val="both"/>
              <w:rPr>
                <w:w w:val="95"/>
                <w:sz w:val="24"/>
              </w:rPr>
            </w:pPr>
            <w:r>
              <w:rPr>
                <w:w w:val="95"/>
                <w:sz w:val="24"/>
              </w:rPr>
              <w:t>Description</w:t>
            </w:r>
          </w:p>
        </w:tc>
        <w:tc>
          <w:tcPr>
            <w:tcW w:w="1728" w:type="dxa"/>
            <w:tcBorders>
              <w:top w:val="single" w:sz="4" w:space="0" w:color="auto"/>
              <w:left w:val="nil"/>
              <w:bottom w:val="single" w:sz="4" w:space="0" w:color="auto"/>
              <w:right w:val="nil"/>
            </w:tcBorders>
          </w:tcPr>
          <w:p w14:paraId="7025DC14" w14:textId="77777777" w:rsidR="00F712AA" w:rsidRPr="00590503" w:rsidRDefault="00F712AA" w:rsidP="00F712AA">
            <w:pPr>
              <w:pStyle w:val="TableParagraph"/>
              <w:ind w:right="-93"/>
              <w:jc w:val="both"/>
              <w:rPr>
                <w:w w:val="95"/>
                <w:sz w:val="24"/>
              </w:rPr>
            </w:pPr>
            <w:r>
              <w:rPr>
                <w:w w:val="95"/>
                <w:sz w:val="24"/>
              </w:rPr>
              <w:t>Number of Data</w:t>
            </w:r>
          </w:p>
        </w:tc>
      </w:tr>
      <w:tr w:rsidR="00F712AA" w:rsidRPr="00590503" w14:paraId="3F31EFC0" w14:textId="77777777" w:rsidTr="00EA63B4">
        <w:tc>
          <w:tcPr>
            <w:tcW w:w="859" w:type="dxa"/>
            <w:tcBorders>
              <w:top w:val="single" w:sz="4" w:space="0" w:color="auto"/>
              <w:left w:val="nil"/>
              <w:bottom w:val="nil"/>
              <w:right w:val="nil"/>
            </w:tcBorders>
            <w:vAlign w:val="center"/>
          </w:tcPr>
          <w:p w14:paraId="752D697E" w14:textId="77777777" w:rsidR="00F712AA" w:rsidRPr="00590503" w:rsidRDefault="00F712AA" w:rsidP="00F712AA">
            <w:pPr>
              <w:pStyle w:val="TableParagraph"/>
              <w:ind w:right="-93"/>
              <w:jc w:val="both"/>
              <w:rPr>
                <w:w w:val="95"/>
                <w:sz w:val="24"/>
              </w:rPr>
            </w:pPr>
            <w:r w:rsidRPr="00590503">
              <w:rPr>
                <w:w w:val="95"/>
                <w:sz w:val="24"/>
              </w:rPr>
              <w:t>1.</w:t>
            </w:r>
          </w:p>
        </w:tc>
        <w:tc>
          <w:tcPr>
            <w:tcW w:w="4811" w:type="dxa"/>
            <w:tcBorders>
              <w:top w:val="single" w:sz="4" w:space="0" w:color="auto"/>
              <w:left w:val="nil"/>
              <w:bottom w:val="nil"/>
              <w:right w:val="nil"/>
            </w:tcBorders>
          </w:tcPr>
          <w:p w14:paraId="6A34FFA1" w14:textId="77777777" w:rsidR="00F712AA" w:rsidRPr="00E677D8" w:rsidRDefault="00F712AA" w:rsidP="00F712AA">
            <w:pPr>
              <w:spacing w:after="0" w:line="240" w:lineRule="auto"/>
              <w:ind w:right="-93"/>
            </w:pPr>
            <w:r w:rsidRPr="00E677D8">
              <w:t>Companies that published annual financial reports during the research period.</w:t>
            </w:r>
          </w:p>
        </w:tc>
        <w:tc>
          <w:tcPr>
            <w:tcW w:w="1728" w:type="dxa"/>
            <w:tcBorders>
              <w:top w:val="single" w:sz="4" w:space="0" w:color="auto"/>
              <w:left w:val="nil"/>
              <w:bottom w:val="nil"/>
              <w:right w:val="nil"/>
            </w:tcBorders>
            <w:vAlign w:val="center"/>
          </w:tcPr>
          <w:p w14:paraId="0E3FC33F" w14:textId="77777777" w:rsidR="00F712AA" w:rsidRPr="00590503" w:rsidRDefault="00F712AA" w:rsidP="00F712AA">
            <w:pPr>
              <w:pStyle w:val="TableParagraph"/>
              <w:ind w:right="-93"/>
              <w:jc w:val="both"/>
              <w:rPr>
                <w:w w:val="95"/>
                <w:sz w:val="24"/>
              </w:rPr>
            </w:pPr>
            <w:r w:rsidRPr="00590503">
              <w:rPr>
                <w:w w:val="95"/>
                <w:sz w:val="24"/>
              </w:rPr>
              <w:t>64</w:t>
            </w:r>
          </w:p>
        </w:tc>
      </w:tr>
      <w:tr w:rsidR="00F712AA" w:rsidRPr="00590503" w14:paraId="23084A3F" w14:textId="77777777" w:rsidTr="00EA63B4">
        <w:tc>
          <w:tcPr>
            <w:tcW w:w="859" w:type="dxa"/>
            <w:tcBorders>
              <w:top w:val="nil"/>
              <w:left w:val="nil"/>
              <w:bottom w:val="nil"/>
              <w:right w:val="nil"/>
            </w:tcBorders>
            <w:vAlign w:val="center"/>
          </w:tcPr>
          <w:p w14:paraId="79C76480" w14:textId="77777777" w:rsidR="00F712AA" w:rsidRPr="00590503" w:rsidRDefault="00F712AA" w:rsidP="00F712AA">
            <w:pPr>
              <w:pStyle w:val="TableParagraph"/>
              <w:ind w:right="-93"/>
              <w:jc w:val="both"/>
              <w:rPr>
                <w:w w:val="95"/>
                <w:sz w:val="24"/>
              </w:rPr>
            </w:pPr>
            <w:r w:rsidRPr="00590503">
              <w:rPr>
                <w:w w:val="95"/>
                <w:sz w:val="24"/>
              </w:rPr>
              <w:t>2.</w:t>
            </w:r>
          </w:p>
        </w:tc>
        <w:tc>
          <w:tcPr>
            <w:tcW w:w="4811" w:type="dxa"/>
            <w:tcBorders>
              <w:top w:val="nil"/>
              <w:left w:val="nil"/>
              <w:bottom w:val="nil"/>
              <w:right w:val="nil"/>
            </w:tcBorders>
          </w:tcPr>
          <w:p w14:paraId="716774D7" w14:textId="77777777" w:rsidR="00F712AA" w:rsidRPr="00E677D8" w:rsidRDefault="00F712AA" w:rsidP="00F712AA">
            <w:pPr>
              <w:spacing w:after="0" w:line="240" w:lineRule="auto"/>
              <w:ind w:right="-93"/>
            </w:pPr>
            <w:r w:rsidRPr="00E677D8">
              <w:t>The company did not publish annual financial reports in rupiah.</w:t>
            </w:r>
          </w:p>
        </w:tc>
        <w:tc>
          <w:tcPr>
            <w:tcW w:w="1728" w:type="dxa"/>
            <w:tcBorders>
              <w:top w:val="nil"/>
              <w:left w:val="nil"/>
              <w:bottom w:val="nil"/>
              <w:right w:val="nil"/>
            </w:tcBorders>
            <w:vAlign w:val="center"/>
          </w:tcPr>
          <w:p w14:paraId="28FA3D24" w14:textId="77777777" w:rsidR="00F712AA" w:rsidRPr="00590503" w:rsidRDefault="00F712AA" w:rsidP="00F712AA">
            <w:pPr>
              <w:pStyle w:val="TableParagraph"/>
              <w:ind w:right="-93"/>
              <w:jc w:val="both"/>
              <w:rPr>
                <w:w w:val="95"/>
                <w:sz w:val="24"/>
              </w:rPr>
            </w:pPr>
            <w:r w:rsidRPr="00590503">
              <w:rPr>
                <w:w w:val="95"/>
                <w:sz w:val="24"/>
              </w:rPr>
              <w:t>(38)</w:t>
            </w:r>
          </w:p>
        </w:tc>
      </w:tr>
      <w:tr w:rsidR="00F712AA" w:rsidRPr="00590503" w14:paraId="56138C6E" w14:textId="77777777" w:rsidTr="00EA63B4">
        <w:tc>
          <w:tcPr>
            <w:tcW w:w="859" w:type="dxa"/>
            <w:tcBorders>
              <w:top w:val="nil"/>
              <w:left w:val="nil"/>
              <w:bottom w:val="nil"/>
              <w:right w:val="nil"/>
            </w:tcBorders>
            <w:vAlign w:val="center"/>
          </w:tcPr>
          <w:p w14:paraId="10152742" w14:textId="77777777" w:rsidR="00F712AA" w:rsidRPr="00590503" w:rsidRDefault="00F712AA" w:rsidP="00F712AA">
            <w:pPr>
              <w:pStyle w:val="TableParagraph"/>
              <w:ind w:right="-93"/>
              <w:jc w:val="both"/>
              <w:rPr>
                <w:w w:val="95"/>
                <w:sz w:val="24"/>
              </w:rPr>
            </w:pPr>
            <w:r w:rsidRPr="00590503">
              <w:rPr>
                <w:w w:val="95"/>
                <w:sz w:val="24"/>
              </w:rPr>
              <w:t>3.</w:t>
            </w:r>
          </w:p>
        </w:tc>
        <w:tc>
          <w:tcPr>
            <w:tcW w:w="4811" w:type="dxa"/>
            <w:tcBorders>
              <w:top w:val="nil"/>
              <w:left w:val="nil"/>
              <w:bottom w:val="nil"/>
              <w:right w:val="nil"/>
            </w:tcBorders>
          </w:tcPr>
          <w:p w14:paraId="168FD6B0" w14:textId="77777777" w:rsidR="00F712AA" w:rsidRPr="00E677D8" w:rsidRDefault="00F712AA" w:rsidP="00F712AA">
            <w:pPr>
              <w:spacing w:after="0" w:line="240" w:lineRule="auto"/>
              <w:ind w:right="-93"/>
            </w:pPr>
            <w:r w:rsidRPr="00E677D8">
              <w:t>The company did not publish annual financial reports ending December 31.</w:t>
            </w:r>
          </w:p>
        </w:tc>
        <w:tc>
          <w:tcPr>
            <w:tcW w:w="1728" w:type="dxa"/>
            <w:tcBorders>
              <w:top w:val="nil"/>
              <w:left w:val="nil"/>
              <w:bottom w:val="nil"/>
              <w:right w:val="nil"/>
            </w:tcBorders>
            <w:vAlign w:val="center"/>
          </w:tcPr>
          <w:p w14:paraId="272BCAE5" w14:textId="77777777" w:rsidR="00F712AA" w:rsidRPr="00590503" w:rsidRDefault="00F712AA" w:rsidP="00F712AA">
            <w:pPr>
              <w:pStyle w:val="TableParagraph"/>
              <w:ind w:right="-93"/>
              <w:jc w:val="both"/>
              <w:rPr>
                <w:w w:val="95"/>
                <w:sz w:val="24"/>
              </w:rPr>
            </w:pPr>
            <w:r w:rsidRPr="00590503">
              <w:rPr>
                <w:w w:val="95"/>
                <w:sz w:val="24"/>
              </w:rPr>
              <w:t>(1)</w:t>
            </w:r>
          </w:p>
        </w:tc>
      </w:tr>
      <w:tr w:rsidR="00F712AA" w:rsidRPr="00590503" w14:paraId="7401EF46" w14:textId="77777777" w:rsidTr="00EA63B4">
        <w:tc>
          <w:tcPr>
            <w:tcW w:w="859" w:type="dxa"/>
            <w:tcBorders>
              <w:top w:val="nil"/>
              <w:left w:val="nil"/>
              <w:bottom w:val="nil"/>
              <w:right w:val="nil"/>
            </w:tcBorders>
            <w:vAlign w:val="center"/>
          </w:tcPr>
          <w:p w14:paraId="46FF3E9D" w14:textId="77777777" w:rsidR="00F712AA" w:rsidRPr="00590503" w:rsidRDefault="00F712AA" w:rsidP="00F712AA">
            <w:pPr>
              <w:pStyle w:val="TableParagraph"/>
              <w:ind w:right="-93"/>
              <w:jc w:val="both"/>
              <w:rPr>
                <w:w w:val="95"/>
                <w:sz w:val="24"/>
              </w:rPr>
            </w:pPr>
            <w:r w:rsidRPr="00590503">
              <w:rPr>
                <w:w w:val="95"/>
                <w:sz w:val="24"/>
              </w:rPr>
              <w:t xml:space="preserve">4. </w:t>
            </w:r>
          </w:p>
        </w:tc>
        <w:tc>
          <w:tcPr>
            <w:tcW w:w="4811" w:type="dxa"/>
            <w:tcBorders>
              <w:top w:val="nil"/>
              <w:left w:val="nil"/>
              <w:bottom w:val="nil"/>
              <w:right w:val="nil"/>
            </w:tcBorders>
          </w:tcPr>
          <w:p w14:paraId="4911E108" w14:textId="77777777" w:rsidR="00F712AA" w:rsidRDefault="00F712AA" w:rsidP="00F712AA">
            <w:pPr>
              <w:spacing w:after="0" w:line="240" w:lineRule="auto"/>
              <w:ind w:right="-93"/>
            </w:pPr>
            <w:r w:rsidRPr="00E677D8">
              <w:t xml:space="preserve">The company did not have </w:t>
            </w:r>
            <w:r>
              <w:t xml:space="preserve">the </w:t>
            </w:r>
            <w:r w:rsidRPr="00E677D8">
              <w:t>complete information needed by the researcher.</w:t>
            </w:r>
          </w:p>
        </w:tc>
        <w:tc>
          <w:tcPr>
            <w:tcW w:w="1728" w:type="dxa"/>
            <w:tcBorders>
              <w:top w:val="nil"/>
              <w:left w:val="nil"/>
              <w:bottom w:val="nil"/>
              <w:right w:val="nil"/>
            </w:tcBorders>
            <w:vAlign w:val="center"/>
          </w:tcPr>
          <w:p w14:paraId="4DF2BB22" w14:textId="77777777" w:rsidR="00F712AA" w:rsidRPr="00590503" w:rsidRDefault="00F712AA" w:rsidP="00F712AA">
            <w:pPr>
              <w:pStyle w:val="TableParagraph"/>
              <w:ind w:right="-93"/>
              <w:jc w:val="both"/>
              <w:rPr>
                <w:w w:val="95"/>
                <w:sz w:val="24"/>
              </w:rPr>
            </w:pPr>
            <w:r w:rsidRPr="00590503">
              <w:rPr>
                <w:w w:val="95"/>
                <w:sz w:val="24"/>
              </w:rPr>
              <w:t>(3)</w:t>
            </w:r>
          </w:p>
        </w:tc>
      </w:tr>
      <w:tr w:rsidR="00F712AA" w:rsidRPr="00590503" w14:paraId="65988F6B" w14:textId="77777777" w:rsidTr="00EA63B4">
        <w:tc>
          <w:tcPr>
            <w:tcW w:w="5670" w:type="dxa"/>
            <w:gridSpan w:val="2"/>
            <w:tcBorders>
              <w:top w:val="nil"/>
              <w:left w:val="nil"/>
              <w:bottom w:val="nil"/>
              <w:right w:val="nil"/>
            </w:tcBorders>
          </w:tcPr>
          <w:p w14:paraId="09454E2A" w14:textId="77777777" w:rsidR="00F712AA" w:rsidRPr="003D487E" w:rsidRDefault="00F712AA" w:rsidP="00F712AA">
            <w:pPr>
              <w:spacing w:after="0" w:line="240" w:lineRule="auto"/>
              <w:ind w:right="-93"/>
            </w:pPr>
            <w:r w:rsidRPr="003D487E">
              <w:t>Company Sample</w:t>
            </w:r>
          </w:p>
        </w:tc>
        <w:tc>
          <w:tcPr>
            <w:tcW w:w="1728" w:type="dxa"/>
            <w:tcBorders>
              <w:top w:val="nil"/>
              <w:left w:val="nil"/>
              <w:bottom w:val="nil"/>
              <w:right w:val="nil"/>
            </w:tcBorders>
            <w:vAlign w:val="center"/>
          </w:tcPr>
          <w:p w14:paraId="42D44CF1" w14:textId="77777777" w:rsidR="00F712AA" w:rsidRPr="00590503" w:rsidRDefault="00F712AA" w:rsidP="00F712AA">
            <w:pPr>
              <w:pStyle w:val="TableParagraph"/>
              <w:ind w:right="-93"/>
              <w:jc w:val="both"/>
              <w:rPr>
                <w:w w:val="95"/>
                <w:sz w:val="24"/>
              </w:rPr>
            </w:pPr>
            <w:r w:rsidRPr="00590503">
              <w:rPr>
                <w:w w:val="95"/>
                <w:sz w:val="24"/>
              </w:rPr>
              <w:t>22</w:t>
            </w:r>
          </w:p>
        </w:tc>
      </w:tr>
      <w:tr w:rsidR="00F712AA" w:rsidRPr="00590503" w14:paraId="01EDA1D0" w14:textId="77777777" w:rsidTr="00EA63B4">
        <w:tc>
          <w:tcPr>
            <w:tcW w:w="5670" w:type="dxa"/>
            <w:gridSpan w:val="2"/>
            <w:tcBorders>
              <w:top w:val="nil"/>
              <w:left w:val="nil"/>
              <w:bottom w:val="nil"/>
              <w:right w:val="nil"/>
            </w:tcBorders>
          </w:tcPr>
          <w:p w14:paraId="28C2DBDB" w14:textId="77777777" w:rsidR="00F712AA" w:rsidRPr="003D487E" w:rsidRDefault="00F712AA" w:rsidP="00F712AA">
            <w:pPr>
              <w:spacing w:after="0" w:line="240" w:lineRule="auto"/>
              <w:ind w:right="-93"/>
            </w:pPr>
            <w:r w:rsidRPr="003D487E">
              <w:t>Research Period</w:t>
            </w:r>
          </w:p>
        </w:tc>
        <w:tc>
          <w:tcPr>
            <w:tcW w:w="1728" w:type="dxa"/>
            <w:tcBorders>
              <w:top w:val="nil"/>
              <w:left w:val="nil"/>
              <w:bottom w:val="nil"/>
              <w:right w:val="nil"/>
            </w:tcBorders>
            <w:vAlign w:val="center"/>
          </w:tcPr>
          <w:p w14:paraId="56792E2F" w14:textId="77777777" w:rsidR="00F712AA" w:rsidRPr="00590503" w:rsidRDefault="00F712AA" w:rsidP="00F712AA">
            <w:pPr>
              <w:pStyle w:val="TableParagraph"/>
              <w:ind w:right="-93"/>
              <w:jc w:val="both"/>
              <w:rPr>
                <w:w w:val="95"/>
                <w:sz w:val="24"/>
              </w:rPr>
            </w:pPr>
            <w:r w:rsidRPr="00590503">
              <w:rPr>
                <w:w w:val="95"/>
                <w:sz w:val="24"/>
              </w:rPr>
              <w:t>3</w:t>
            </w:r>
          </w:p>
        </w:tc>
      </w:tr>
      <w:tr w:rsidR="00F712AA" w:rsidRPr="00590503" w14:paraId="5722FBD4" w14:textId="77777777" w:rsidTr="00EA63B4">
        <w:tc>
          <w:tcPr>
            <w:tcW w:w="5670" w:type="dxa"/>
            <w:gridSpan w:val="2"/>
            <w:tcBorders>
              <w:top w:val="nil"/>
              <w:left w:val="nil"/>
              <w:bottom w:val="single" w:sz="4" w:space="0" w:color="auto"/>
              <w:right w:val="nil"/>
            </w:tcBorders>
          </w:tcPr>
          <w:p w14:paraId="146548C9" w14:textId="77777777" w:rsidR="00F712AA" w:rsidRDefault="00F712AA" w:rsidP="00F712AA">
            <w:pPr>
              <w:spacing w:after="0" w:line="240" w:lineRule="auto"/>
              <w:ind w:right="-93"/>
            </w:pPr>
            <w:r w:rsidRPr="003D487E">
              <w:t>Total Research Sample</w:t>
            </w:r>
          </w:p>
        </w:tc>
        <w:tc>
          <w:tcPr>
            <w:tcW w:w="1728" w:type="dxa"/>
            <w:tcBorders>
              <w:top w:val="nil"/>
              <w:left w:val="nil"/>
              <w:bottom w:val="single" w:sz="4" w:space="0" w:color="auto"/>
              <w:right w:val="nil"/>
            </w:tcBorders>
            <w:vAlign w:val="center"/>
          </w:tcPr>
          <w:p w14:paraId="0CA5FE8C" w14:textId="77777777" w:rsidR="00F712AA" w:rsidRPr="00590503" w:rsidRDefault="00F712AA" w:rsidP="00F712AA">
            <w:pPr>
              <w:pStyle w:val="TableParagraph"/>
              <w:ind w:right="-93"/>
              <w:jc w:val="both"/>
              <w:rPr>
                <w:w w:val="95"/>
                <w:sz w:val="24"/>
              </w:rPr>
            </w:pPr>
            <w:r w:rsidRPr="00590503">
              <w:rPr>
                <w:w w:val="95"/>
                <w:sz w:val="24"/>
              </w:rPr>
              <w:t>66</w:t>
            </w:r>
          </w:p>
        </w:tc>
      </w:tr>
    </w:tbl>
    <w:p w14:paraId="7423CBFB" w14:textId="0438381E" w:rsidR="00F712AA" w:rsidRDefault="00F712AA" w:rsidP="00F712AA">
      <w:pPr>
        <w:pStyle w:val="BodyText"/>
        <w:spacing w:after="0" w:line="240" w:lineRule="auto"/>
        <w:ind w:left="1440" w:right="-93"/>
        <w:rPr>
          <w:bCs/>
          <w:lang w:val="id-ID"/>
        </w:rPr>
      </w:pPr>
      <w:r w:rsidRPr="00F31DB0">
        <w:rPr>
          <w:bCs/>
          <w:lang w:val="id-ID"/>
        </w:rPr>
        <w:t>Source: Data Analysis Results, 2024.</w:t>
      </w:r>
    </w:p>
    <w:p w14:paraId="7BCD9490" w14:textId="77777777" w:rsidR="00F712AA" w:rsidRPr="00590503" w:rsidRDefault="00F712AA" w:rsidP="00F712AA">
      <w:pPr>
        <w:pStyle w:val="BodyText"/>
        <w:spacing w:after="0" w:line="240" w:lineRule="auto"/>
        <w:ind w:left="1440" w:right="-93"/>
        <w:rPr>
          <w:bCs/>
        </w:rPr>
      </w:pPr>
    </w:p>
    <w:p w14:paraId="1C553F77" w14:textId="77777777" w:rsidR="00F712AA" w:rsidRPr="00201154" w:rsidRDefault="00F712AA" w:rsidP="00F712AA">
      <w:pPr>
        <w:pStyle w:val="BodyText"/>
        <w:spacing w:before="6" w:line="360" w:lineRule="auto"/>
        <w:ind w:right="49" w:firstLine="708"/>
        <w:rPr>
          <w:bCs/>
        </w:rPr>
      </w:pPr>
      <w:r w:rsidRPr="00413CA0">
        <w:rPr>
          <w:bCs/>
        </w:rPr>
        <w:t xml:space="preserve">From the selection criteria, 64 companies published financial reports from 2019 to 2021. After excluding 38 companies using currencies other than </w:t>
      </w:r>
      <w:r>
        <w:rPr>
          <w:bCs/>
        </w:rPr>
        <w:t xml:space="preserve">the </w:t>
      </w:r>
      <w:r w:rsidRPr="00413CA0">
        <w:rPr>
          <w:bCs/>
        </w:rPr>
        <w:t>rupiah, one with a non-standard fiscal year, and three with incomplete data, 22 companies were retained. With a three-year research period, the total sample size is 66 observations</w:t>
      </w:r>
      <w:r w:rsidRPr="00B41137">
        <w:rPr>
          <w:bCs/>
        </w:rPr>
        <w:t>.</w:t>
      </w:r>
    </w:p>
    <w:p w14:paraId="0D7085A3" w14:textId="77777777" w:rsidR="00F712AA" w:rsidRPr="00590503" w:rsidRDefault="00F712AA" w:rsidP="00F712AA">
      <w:pPr>
        <w:pStyle w:val="BodyText"/>
        <w:spacing w:before="6" w:line="360" w:lineRule="auto"/>
        <w:ind w:right="49"/>
        <w:rPr>
          <w:b/>
          <w:bCs/>
        </w:rPr>
      </w:pPr>
      <w:r>
        <w:rPr>
          <w:b/>
          <w:bCs/>
        </w:rPr>
        <w:lastRenderedPageBreak/>
        <w:t>Descriptive Statistics</w:t>
      </w:r>
    </w:p>
    <w:p w14:paraId="30C363AE" w14:textId="012078B1" w:rsidR="00F712AA" w:rsidRPr="00235034" w:rsidRDefault="00F712AA" w:rsidP="00F712AA">
      <w:pPr>
        <w:pStyle w:val="BodyText"/>
        <w:spacing w:after="0" w:line="240" w:lineRule="auto"/>
        <w:ind w:right="49" w:firstLine="708"/>
        <w:jc w:val="center"/>
        <w:rPr>
          <w:b/>
        </w:rPr>
      </w:pPr>
      <w:bookmarkStart w:id="7" w:name="_Toc181421860"/>
      <w:bookmarkStart w:id="8" w:name="_Toc181421936"/>
      <w:bookmarkStart w:id="9" w:name="_Toc181422576"/>
      <w:bookmarkStart w:id="10" w:name="_Toc181421825"/>
      <w:r w:rsidRPr="00235034">
        <w:rPr>
          <w:b/>
          <w:lang w:val="id-ID"/>
        </w:rPr>
        <w:t xml:space="preserve">Table </w:t>
      </w:r>
      <w:r w:rsidRPr="00235034">
        <w:rPr>
          <w:b/>
          <w:lang w:val="id-ID"/>
        </w:rPr>
        <w:fldChar w:fldCharType="begin"/>
      </w:r>
      <w:r w:rsidRPr="00235034">
        <w:rPr>
          <w:b/>
          <w:lang w:val="id-ID"/>
        </w:rPr>
        <w:instrText xml:space="preserve"> SEQ Tabel_IV. \* ARABIC </w:instrText>
      </w:r>
      <w:r w:rsidRPr="00235034">
        <w:rPr>
          <w:b/>
          <w:lang w:val="id-ID"/>
        </w:rPr>
        <w:fldChar w:fldCharType="separate"/>
      </w:r>
      <w:r w:rsidRPr="00235034">
        <w:rPr>
          <w:b/>
          <w:noProof/>
          <w:lang w:val="id-ID"/>
        </w:rPr>
        <w:t>2</w:t>
      </w:r>
      <w:bookmarkEnd w:id="7"/>
      <w:bookmarkEnd w:id="8"/>
      <w:bookmarkEnd w:id="9"/>
      <w:r w:rsidRPr="00235034">
        <w:rPr>
          <w:b/>
        </w:rPr>
        <w:fldChar w:fldCharType="end"/>
      </w:r>
      <w:bookmarkStart w:id="11" w:name="_Toc181421861"/>
      <w:bookmarkStart w:id="12" w:name="_Toc181421937"/>
      <w:bookmarkStart w:id="13" w:name="_Toc181422577"/>
    </w:p>
    <w:p w14:paraId="52D3DD28" w14:textId="77777777" w:rsidR="00F712AA" w:rsidRPr="00235034" w:rsidRDefault="00F712AA" w:rsidP="00F712AA">
      <w:pPr>
        <w:pStyle w:val="BodyText"/>
        <w:spacing w:after="0" w:line="240" w:lineRule="auto"/>
        <w:ind w:right="49" w:firstLine="708"/>
        <w:jc w:val="center"/>
        <w:rPr>
          <w:b/>
        </w:rPr>
      </w:pPr>
      <w:r w:rsidRPr="00235034">
        <w:rPr>
          <w:b/>
        </w:rPr>
        <w:t>Descriptive Statistics Analysis Results</w:t>
      </w:r>
      <w:bookmarkEnd w:id="10"/>
      <w:bookmarkEnd w:id="11"/>
      <w:bookmarkEnd w:id="12"/>
      <w:bookmarkEnd w:id="13"/>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559"/>
        <w:gridCol w:w="1227"/>
        <w:gridCol w:w="1354"/>
        <w:gridCol w:w="1194"/>
        <w:gridCol w:w="1187"/>
      </w:tblGrid>
      <w:tr w:rsidR="00F712AA" w:rsidRPr="00590503" w14:paraId="2A8FC0A0" w14:textId="77777777" w:rsidTr="00EA63B4">
        <w:trPr>
          <w:trHeight w:val="97"/>
        </w:trPr>
        <w:tc>
          <w:tcPr>
            <w:tcW w:w="1969" w:type="dxa"/>
            <w:tcBorders>
              <w:top w:val="single" w:sz="4" w:space="0" w:color="auto"/>
              <w:bottom w:val="single" w:sz="4" w:space="0" w:color="auto"/>
            </w:tcBorders>
          </w:tcPr>
          <w:p w14:paraId="24D8244B" w14:textId="77777777" w:rsidR="00F712AA" w:rsidRPr="00590503" w:rsidRDefault="00F712AA" w:rsidP="00F712AA">
            <w:pPr>
              <w:pStyle w:val="TableParagraph"/>
              <w:ind w:right="49"/>
              <w:jc w:val="both"/>
              <w:rPr>
                <w:w w:val="95"/>
                <w:sz w:val="24"/>
              </w:rPr>
            </w:pPr>
          </w:p>
        </w:tc>
        <w:tc>
          <w:tcPr>
            <w:tcW w:w="567" w:type="dxa"/>
            <w:tcBorders>
              <w:top w:val="single" w:sz="4" w:space="0" w:color="auto"/>
              <w:bottom w:val="single" w:sz="4" w:space="0" w:color="auto"/>
            </w:tcBorders>
          </w:tcPr>
          <w:p w14:paraId="12F52625" w14:textId="77777777" w:rsidR="00F712AA" w:rsidRPr="00590503" w:rsidRDefault="00F712AA" w:rsidP="00F712AA">
            <w:pPr>
              <w:pStyle w:val="TableParagraph"/>
              <w:ind w:right="49"/>
              <w:jc w:val="both"/>
              <w:rPr>
                <w:w w:val="95"/>
                <w:sz w:val="24"/>
              </w:rPr>
            </w:pPr>
            <w:r w:rsidRPr="00590503">
              <w:rPr>
                <w:w w:val="95"/>
                <w:sz w:val="24"/>
              </w:rPr>
              <w:t>N</w:t>
            </w:r>
          </w:p>
        </w:tc>
        <w:tc>
          <w:tcPr>
            <w:tcW w:w="1233" w:type="dxa"/>
            <w:tcBorders>
              <w:top w:val="single" w:sz="4" w:space="0" w:color="auto"/>
              <w:bottom w:val="single" w:sz="4" w:space="0" w:color="auto"/>
            </w:tcBorders>
          </w:tcPr>
          <w:p w14:paraId="61C50533" w14:textId="77777777" w:rsidR="00F712AA" w:rsidRPr="00590503" w:rsidRDefault="00F712AA" w:rsidP="00F712AA">
            <w:pPr>
              <w:pStyle w:val="TableParagraph"/>
              <w:ind w:right="49"/>
              <w:jc w:val="both"/>
              <w:rPr>
                <w:w w:val="95"/>
                <w:sz w:val="24"/>
              </w:rPr>
            </w:pPr>
            <w:r w:rsidRPr="00590503">
              <w:rPr>
                <w:w w:val="95"/>
                <w:sz w:val="24"/>
              </w:rPr>
              <w:t>Minimum</w:t>
            </w:r>
          </w:p>
        </w:tc>
        <w:tc>
          <w:tcPr>
            <w:tcW w:w="1360" w:type="dxa"/>
            <w:tcBorders>
              <w:top w:val="single" w:sz="4" w:space="0" w:color="auto"/>
              <w:bottom w:val="single" w:sz="4" w:space="0" w:color="auto"/>
            </w:tcBorders>
          </w:tcPr>
          <w:p w14:paraId="5E65525D" w14:textId="77777777" w:rsidR="00F712AA" w:rsidRPr="00590503" w:rsidRDefault="00F712AA" w:rsidP="00F712AA">
            <w:pPr>
              <w:pStyle w:val="TableParagraph"/>
              <w:ind w:right="49"/>
              <w:jc w:val="both"/>
              <w:rPr>
                <w:w w:val="95"/>
                <w:sz w:val="24"/>
              </w:rPr>
            </w:pPr>
            <w:proofErr w:type="spellStart"/>
            <w:r w:rsidRPr="00590503">
              <w:rPr>
                <w:w w:val="95"/>
                <w:sz w:val="24"/>
              </w:rPr>
              <w:t>Maksimum</w:t>
            </w:r>
            <w:proofErr w:type="spellEnd"/>
          </w:p>
        </w:tc>
        <w:tc>
          <w:tcPr>
            <w:tcW w:w="1217" w:type="dxa"/>
            <w:tcBorders>
              <w:top w:val="single" w:sz="4" w:space="0" w:color="auto"/>
              <w:bottom w:val="single" w:sz="4" w:space="0" w:color="auto"/>
            </w:tcBorders>
          </w:tcPr>
          <w:p w14:paraId="701595A5" w14:textId="77777777" w:rsidR="00F712AA" w:rsidRPr="00590503" w:rsidRDefault="00F712AA" w:rsidP="00F712AA">
            <w:pPr>
              <w:pStyle w:val="TableParagraph"/>
              <w:ind w:right="49"/>
              <w:jc w:val="both"/>
              <w:rPr>
                <w:w w:val="95"/>
                <w:sz w:val="24"/>
              </w:rPr>
            </w:pPr>
            <w:r w:rsidRPr="00590503">
              <w:rPr>
                <w:w w:val="95"/>
                <w:sz w:val="24"/>
              </w:rPr>
              <w:t>Mean</w:t>
            </w:r>
          </w:p>
        </w:tc>
        <w:tc>
          <w:tcPr>
            <w:tcW w:w="1195" w:type="dxa"/>
            <w:tcBorders>
              <w:top w:val="single" w:sz="4" w:space="0" w:color="auto"/>
              <w:bottom w:val="single" w:sz="4" w:space="0" w:color="auto"/>
            </w:tcBorders>
          </w:tcPr>
          <w:p w14:paraId="071ACF4F" w14:textId="77777777" w:rsidR="00F712AA" w:rsidRPr="00590503" w:rsidRDefault="00F712AA" w:rsidP="00F712AA">
            <w:pPr>
              <w:pStyle w:val="TableParagraph"/>
              <w:ind w:right="49"/>
              <w:jc w:val="both"/>
              <w:rPr>
                <w:w w:val="95"/>
                <w:sz w:val="24"/>
              </w:rPr>
            </w:pPr>
            <w:r w:rsidRPr="00590503">
              <w:rPr>
                <w:w w:val="95"/>
                <w:sz w:val="24"/>
              </w:rPr>
              <w:t>Std. Dev.</w:t>
            </w:r>
          </w:p>
        </w:tc>
      </w:tr>
      <w:tr w:rsidR="00F712AA" w:rsidRPr="00590503" w14:paraId="7B6CA78F" w14:textId="77777777" w:rsidTr="00EA63B4">
        <w:tc>
          <w:tcPr>
            <w:tcW w:w="1969" w:type="dxa"/>
            <w:tcBorders>
              <w:top w:val="single" w:sz="4" w:space="0" w:color="auto"/>
            </w:tcBorders>
          </w:tcPr>
          <w:p w14:paraId="67DD7312" w14:textId="77777777" w:rsidR="00F712AA" w:rsidRPr="00590503" w:rsidRDefault="00F712AA" w:rsidP="00F712AA">
            <w:pPr>
              <w:pStyle w:val="TableParagraph"/>
              <w:ind w:right="49"/>
              <w:jc w:val="both"/>
              <w:rPr>
                <w:w w:val="95"/>
                <w:sz w:val="24"/>
              </w:rPr>
            </w:pPr>
            <w:r w:rsidRPr="00590503">
              <w:rPr>
                <w:w w:val="95"/>
                <w:sz w:val="24"/>
              </w:rPr>
              <w:t>AD</w:t>
            </w:r>
          </w:p>
        </w:tc>
        <w:tc>
          <w:tcPr>
            <w:tcW w:w="567" w:type="dxa"/>
            <w:tcBorders>
              <w:top w:val="single" w:sz="4" w:space="0" w:color="auto"/>
            </w:tcBorders>
          </w:tcPr>
          <w:p w14:paraId="3594552D" w14:textId="77777777" w:rsidR="00F712AA" w:rsidRPr="00590503" w:rsidRDefault="00F712AA" w:rsidP="00F712AA">
            <w:pPr>
              <w:pStyle w:val="TableParagraph"/>
              <w:ind w:right="49"/>
              <w:jc w:val="both"/>
              <w:rPr>
                <w:w w:val="95"/>
                <w:sz w:val="24"/>
              </w:rPr>
            </w:pPr>
            <w:r w:rsidRPr="00590503">
              <w:rPr>
                <w:w w:val="95"/>
                <w:sz w:val="24"/>
              </w:rPr>
              <w:t>35</w:t>
            </w:r>
          </w:p>
        </w:tc>
        <w:tc>
          <w:tcPr>
            <w:tcW w:w="1233" w:type="dxa"/>
            <w:tcBorders>
              <w:top w:val="single" w:sz="4" w:space="0" w:color="auto"/>
            </w:tcBorders>
          </w:tcPr>
          <w:p w14:paraId="16947ECF" w14:textId="77777777" w:rsidR="00F712AA" w:rsidRPr="00590503" w:rsidRDefault="00F712AA" w:rsidP="00F712AA">
            <w:pPr>
              <w:pStyle w:val="TableParagraph"/>
              <w:ind w:right="49"/>
              <w:jc w:val="both"/>
              <w:rPr>
                <w:w w:val="95"/>
                <w:sz w:val="24"/>
              </w:rPr>
            </w:pPr>
            <w:r w:rsidRPr="00590503">
              <w:rPr>
                <w:w w:val="95"/>
                <w:sz w:val="24"/>
              </w:rPr>
              <w:t>45</w:t>
            </w:r>
          </w:p>
        </w:tc>
        <w:tc>
          <w:tcPr>
            <w:tcW w:w="1360" w:type="dxa"/>
            <w:tcBorders>
              <w:top w:val="single" w:sz="4" w:space="0" w:color="auto"/>
            </w:tcBorders>
          </w:tcPr>
          <w:p w14:paraId="59D18E69" w14:textId="77777777" w:rsidR="00F712AA" w:rsidRPr="00590503" w:rsidRDefault="00F712AA" w:rsidP="00F712AA">
            <w:pPr>
              <w:pStyle w:val="TableParagraph"/>
              <w:ind w:right="49"/>
              <w:jc w:val="both"/>
              <w:rPr>
                <w:w w:val="95"/>
                <w:sz w:val="24"/>
              </w:rPr>
            </w:pPr>
            <w:r w:rsidRPr="00590503">
              <w:rPr>
                <w:w w:val="95"/>
                <w:sz w:val="24"/>
              </w:rPr>
              <w:t>189</w:t>
            </w:r>
          </w:p>
        </w:tc>
        <w:tc>
          <w:tcPr>
            <w:tcW w:w="1217" w:type="dxa"/>
            <w:tcBorders>
              <w:top w:val="single" w:sz="4" w:space="0" w:color="auto"/>
            </w:tcBorders>
          </w:tcPr>
          <w:p w14:paraId="5751295C" w14:textId="77777777" w:rsidR="00F712AA" w:rsidRPr="00590503" w:rsidRDefault="00F712AA" w:rsidP="00F712AA">
            <w:pPr>
              <w:pStyle w:val="TableParagraph"/>
              <w:ind w:right="49"/>
              <w:jc w:val="both"/>
              <w:rPr>
                <w:w w:val="95"/>
                <w:sz w:val="24"/>
              </w:rPr>
            </w:pPr>
            <w:r w:rsidRPr="00590503">
              <w:rPr>
                <w:w w:val="95"/>
                <w:sz w:val="24"/>
              </w:rPr>
              <w:t>105,86</w:t>
            </w:r>
          </w:p>
        </w:tc>
        <w:tc>
          <w:tcPr>
            <w:tcW w:w="1195" w:type="dxa"/>
            <w:tcBorders>
              <w:top w:val="single" w:sz="4" w:space="0" w:color="auto"/>
            </w:tcBorders>
          </w:tcPr>
          <w:p w14:paraId="5FAC98BE" w14:textId="77777777" w:rsidR="00F712AA" w:rsidRPr="00590503" w:rsidRDefault="00F712AA" w:rsidP="00F712AA">
            <w:pPr>
              <w:pStyle w:val="TableParagraph"/>
              <w:ind w:right="49"/>
              <w:jc w:val="both"/>
              <w:rPr>
                <w:w w:val="95"/>
                <w:sz w:val="24"/>
              </w:rPr>
            </w:pPr>
            <w:r w:rsidRPr="00590503">
              <w:rPr>
                <w:w w:val="95"/>
                <w:sz w:val="24"/>
              </w:rPr>
              <w:t>34,591</w:t>
            </w:r>
          </w:p>
        </w:tc>
      </w:tr>
      <w:tr w:rsidR="00F712AA" w:rsidRPr="00590503" w14:paraId="61117CBB" w14:textId="77777777" w:rsidTr="00EA63B4">
        <w:tc>
          <w:tcPr>
            <w:tcW w:w="1969" w:type="dxa"/>
          </w:tcPr>
          <w:p w14:paraId="1265006E" w14:textId="77777777" w:rsidR="00F712AA" w:rsidRPr="00590503" w:rsidRDefault="00F712AA" w:rsidP="00F712AA">
            <w:pPr>
              <w:pStyle w:val="TableParagraph"/>
              <w:ind w:right="49"/>
              <w:jc w:val="both"/>
              <w:rPr>
                <w:w w:val="95"/>
                <w:sz w:val="24"/>
              </w:rPr>
            </w:pPr>
            <w:r w:rsidRPr="00590503">
              <w:rPr>
                <w:w w:val="95"/>
                <w:sz w:val="24"/>
              </w:rPr>
              <w:t>KOP</w:t>
            </w:r>
          </w:p>
        </w:tc>
        <w:tc>
          <w:tcPr>
            <w:tcW w:w="567" w:type="dxa"/>
          </w:tcPr>
          <w:p w14:paraId="47CE2998" w14:textId="77777777" w:rsidR="00F712AA" w:rsidRPr="00590503" w:rsidRDefault="00F712AA" w:rsidP="00F712AA">
            <w:pPr>
              <w:pStyle w:val="TableParagraph"/>
              <w:ind w:right="49"/>
              <w:jc w:val="both"/>
              <w:rPr>
                <w:w w:val="95"/>
                <w:sz w:val="24"/>
              </w:rPr>
            </w:pPr>
            <w:r w:rsidRPr="00590503">
              <w:rPr>
                <w:w w:val="95"/>
                <w:sz w:val="24"/>
              </w:rPr>
              <w:t>35</w:t>
            </w:r>
          </w:p>
        </w:tc>
        <w:tc>
          <w:tcPr>
            <w:tcW w:w="1233" w:type="dxa"/>
          </w:tcPr>
          <w:p w14:paraId="4B1E7772" w14:textId="77777777" w:rsidR="00F712AA" w:rsidRPr="00590503" w:rsidRDefault="00F712AA" w:rsidP="00F712AA">
            <w:pPr>
              <w:pStyle w:val="TableParagraph"/>
              <w:ind w:right="49"/>
              <w:jc w:val="both"/>
              <w:rPr>
                <w:w w:val="95"/>
                <w:sz w:val="24"/>
              </w:rPr>
            </w:pPr>
            <w:r w:rsidRPr="00590503">
              <w:rPr>
                <w:w w:val="95"/>
                <w:sz w:val="24"/>
              </w:rPr>
              <w:t>0</w:t>
            </w:r>
          </w:p>
        </w:tc>
        <w:tc>
          <w:tcPr>
            <w:tcW w:w="1360" w:type="dxa"/>
          </w:tcPr>
          <w:p w14:paraId="6AD93856" w14:textId="77777777" w:rsidR="00F712AA" w:rsidRPr="00590503" w:rsidRDefault="00F712AA" w:rsidP="00F712AA">
            <w:pPr>
              <w:pStyle w:val="TableParagraph"/>
              <w:ind w:right="49"/>
              <w:jc w:val="both"/>
              <w:rPr>
                <w:w w:val="95"/>
                <w:sz w:val="24"/>
              </w:rPr>
            </w:pPr>
            <w:r w:rsidRPr="00590503">
              <w:rPr>
                <w:w w:val="95"/>
                <w:sz w:val="24"/>
              </w:rPr>
              <w:t>1</w:t>
            </w:r>
          </w:p>
        </w:tc>
        <w:tc>
          <w:tcPr>
            <w:tcW w:w="1217" w:type="dxa"/>
          </w:tcPr>
          <w:p w14:paraId="2A5338F9" w14:textId="77777777" w:rsidR="00F712AA" w:rsidRPr="00590503" w:rsidRDefault="00F712AA" w:rsidP="00F712AA">
            <w:pPr>
              <w:pStyle w:val="TableParagraph"/>
              <w:ind w:right="49"/>
              <w:jc w:val="both"/>
              <w:rPr>
                <w:w w:val="95"/>
                <w:sz w:val="24"/>
              </w:rPr>
            </w:pPr>
            <w:r w:rsidRPr="00590503">
              <w:rPr>
                <w:w w:val="95"/>
                <w:sz w:val="24"/>
              </w:rPr>
              <w:t>0,91</w:t>
            </w:r>
          </w:p>
        </w:tc>
        <w:tc>
          <w:tcPr>
            <w:tcW w:w="1195" w:type="dxa"/>
          </w:tcPr>
          <w:p w14:paraId="55BD7A81" w14:textId="77777777" w:rsidR="00F712AA" w:rsidRPr="00590503" w:rsidRDefault="00F712AA" w:rsidP="00F712AA">
            <w:pPr>
              <w:pStyle w:val="TableParagraph"/>
              <w:ind w:right="49"/>
              <w:jc w:val="both"/>
              <w:rPr>
                <w:w w:val="95"/>
                <w:sz w:val="24"/>
              </w:rPr>
            </w:pPr>
            <w:r w:rsidRPr="00590503">
              <w:rPr>
                <w:w w:val="95"/>
                <w:sz w:val="24"/>
              </w:rPr>
              <w:t>0,284</w:t>
            </w:r>
          </w:p>
        </w:tc>
      </w:tr>
      <w:tr w:rsidR="00F712AA" w:rsidRPr="00590503" w14:paraId="5AD87B3F" w14:textId="77777777" w:rsidTr="00EA63B4">
        <w:tc>
          <w:tcPr>
            <w:tcW w:w="1969" w:type="dxa"/>
          </w:tcPr>
          <w:p w14:paraId="76EAF1EA" w14:textId="77777777" w:rsidR="00F712AA" w:rsidRPr="00590503" w:rsidRDefault="00F712AA" w:rsidP="00F712AA">
            <w:pPr>
              <w:pStyle w:val="TableParagraph"/>
              <w:ind w:right="49"/>
              <w:jc w:val="both"/>
              <w:rPr>
                <w:w w:val="95"/>
                <w:sz w:val="24"/>
              </w:rPr>
            </w:pPr>
            <w:r w:rsidRPr="00590503">
              <w:rPr>
                <w:w w:val="95"/>
                <w:sz w:val="24"/>
              </w:rPr>
              <w:t>ROA</w:t>
            </w:r>
          </w:p>
        </w:tc>
        <w:tc>
          <w:tcPr>
            <w:tcW w:w="567" w:type="dxa"/>
          </w:tcPr>
          <w:p w14:paraId="2E4F9200" w14:textId="77777777" w:rsidR="00F712AA" w:rsidRPr="00590503" w:rsidRDefault="00F712AA" w:rsidP="00F712AA">
            <w:pPr>
              <w:pStyle w:val="TableParagraph"/>
              <w:ind w:right="49"/>
              <w:jc w:val="both"/>
              <w:rPr>
                <w:w w:val="95"/>
                <w:sz w:val="24"/>
              </w:rPr>
            </w:pPr>
            <w:r w:rsidRPr="00590503">
              <w:rPr>
                <w:w w:val="95"/>
                <w:sz w:val="24"/>
              </w:rPr>
              <w:t>35</w:t>
            </w:r>
          </w:p>
        </w:tc>
        <w:tc>
          <w:tcPr>
            <w:tcW w:w="1233" w:type="dxa"/>
          </w:tcPr>
          <w:p w14:paraId="3DA0C45F" w14:textId="77777777" w:rsidR="00F712AA" w:rsidRPr="00590503" w:rsidRDefault="00F712AA" w:rsidP="00F712AA">
            <w:pPr>
              <w:pStyle w:val="TableParagraph"/>
              <w:ind w:right="49"/>
              <w:jc w:val="both"/>
              <w:rPr>
                <w:w w:val="95"/>
                <w:sz w:val="24"/>
              </w:rPr>
            </w:pPr>
            <w:r w:rsidRPr="00590503">
              <w:rPr>
                <w:w w:val="95"/>
                <w:sz w:val="24"/>
              </w:rPr>
              <w:t>-0,185</w:t>
            </w:r>
          </w:p>
        </w:tc>
        <w:tc>
          <w:tcPr>
            <w:tcW w:w="1360" w:type="dxa"/>
          </w:tcPr>
          <w:p w14:paraId="5B9A3718" w14:textId="77777777" w:rsidR="00F712AA" w:rsidRPr="00590503" w:rsidRDefault="00F712AA" w:rsidP="00F712AA">
            <w:pPr>
              <w:pStyle w:val="TableParagraph"/>
              <w:ind w:right="49"/>
              <w:jc w:val="both"/>
              <w:rPr>
                <w:w w:val="95"/>
                <w:sz w:val="24"/>
              </w:rPr>
            </w:pPr>
            <w:r w:rsidRPr="00590503">
              <w:rPr>
                <w:w w:val="95"/>
                <w:sz w:val="24"/>
              </w:rPr>
              <w:t>0,167</w:t>
            </w:r>
          </w:p>
        </w:tc>
        <w:tc>
          <w:tcPr>
            <w:tcW w:w="1217" w:type="dxa"/>
          </w:tcPr>
          <w:p w14:paraId="4640719B" w14:textId="77777777" w:rsidR="00F712AA" w:rsidRPr="00590503" w:rsidRDefault="00F712AA" w:rsidP="00F712AA">
            <w:pPr>
              <w:pStyle w:val="TableParagraph"/>
              <w:ind w:right="49"/>
              <w:jc w:val="both"/>
              <w:rPr>
                <w:w w:val="95"/>
                <w:sz w:val="24"/>
              </w:rPr>
            </w:pPr>
            <w:r w:rsidRPr="00590503">
              <w:rPr>
                <w:w w:val="95"/>
                <w:sz w:val="24"/>
              </w:rPr>
              <w:t>0,02403</w:t>
            </w:r>
          </w:p>
        </w:tc>
        <w:tc>
          <w:tcPr>
            <w:tcW w:w="1195" w:type="dxa"/>
          </w:tcPr>
          <w:p w14:paraId="315311A4" w14:textId="77777777" w:rsidR="00F712AA" w:rsidRPr="00590503" w:rsidRDefault="00F712AA" w:rsidP="00F712AA">
            <w:pPr>
              <w:pStyle w:val="TableParagraph"/>
              <w:ind w:right="49"/>
              <w:jc w:val="both"/>
              <w:rPr>
                <w:w w:val="95"/>
                <w:sz w:val="24"/>
              </w:rPr>
            </w:pPr>
            <w:r w:rsidRPr="00590503">
              <w:rPr>
                <w:w w:val="95"/>
                <w:sz w:val="24"/>
              </w:rPr>
              <w:t>0,066165</w:t>
            </w:r>
          </w:p>
        </w:tc>
      </w:tr>
      <w:tr w:rsidR="00F712AA" w:rsidRPr="00590503" w14:paraId="0462DD2E" w14:textId="77777777" w:rsidTr="00EA63B4">
        <w:tc>
          <w:tcPr>
            <w:tcW w:w="1969" w:type="dxa"/>
          </w:tcPr>
          <w:p w14:paraId="3DFD0258" w14:textId="77777777" w:rsidR="00F712AA" w:rsidRPr="00590503" w:rsidRDefault="00F712AA" w:rsidP="00F712AA">
            <w:pPr>
              <w:pStyle w:val="TableParagraph"/>
              <w:ind w:right="49"/>
              <w:jc w:val="both"/>
              <w:rPr>
                <w:w w:val="95"/>
                <w:sz w:val="24"/>
              </w:rPr>
            </w:pPr>
            <w:r w:rsidRPr="00590503">
              <w:rPr>
                <w:w w:val="95"/>
                <w:sz w:val="24"/>
              </w:rPr>
              <w:t>DER</w:t>
            </w:r>
          </w:p>
        </w:tc>
        <w:tc>
          <w:tcPr>
            <w:tcW w:w="567" w:type="dxa"/>
          </w:tcPr>
          <w:p w14:paraId="2E4FB75F" w14:textId="77777777" w:rsidR="00F712AA" w:rsidRPr="00590503" w:rsidRDefault="00F712AA" w:rsidP="00F712AA">
            <w:pPr>
              <w:pStyle w:val="TableParagraph"/>
              <w:ind w:right="49"/>
              <w:jc w:val="both"/>
              <w:rPr>
                <w:w w:val="95"/>
                <w:sz w:val="24"/>
              </w:rPr>
            </w:pPr>
            <w:r w:rsidRPr="00590503">
              <w:rPr>
                <w:w w:val="95"/>
                <w:sz w:val="24"/>
              </w:rPr>
              <w:t>35</w:t>
            </w:r>
          </w:p>
        </w:tc>
        <w:tc>
          <w:tcPr>
            <w:tcW w:w="1233" w:type="dxa"/>
          </w:tcPr>
          <w:p w14:paraId="433A8357" w14:textId="77777777" w:rsidR="00F712AA" w:rsidRPr="00590503" w:rsidRDefault="00F712AA" w:rsidP="00F712AA">
            <w:pPr>
              <w:pStyle w:val="TableParagraph"/>
              <w:ind w:right="49"/>
              <w:jc w:val="both"/>
              <w:rPr>
                <w:w w:val="95"/>
                <w:sz w:val="24"/>
              </w:rPr>
            </w:pPr>
            <w:r w:rsidRPr="00590503">
              <w:rPr>
                <w:w w:val="95"/>
                <w:sz w:val="24"/>
              </w:rPr>
              <w:t>0,130</w:t>
            </w:r>
          </w:p>
        </w:tc>
        <w:tc>
          <w:tcPr>
            <w:tcW w:w="1360" w:type="dxa"/>
          </w:tcPr>
          <w:p w14:paraId="36CD738D" w14:textId="77777777" w:rsidR="00F712AA" w:rsidRPr="00590503" w:rsidRDefault="00F712AA" w:rsidP="00F712AA">
            <w:pPr>
              <w:pStyle w:val="TableParagraph"/>
              <w:ind w:right="49"/>
              <w:jc w:val="both"/>
              <w:rPr>
                <w:w w:val="95"/>
                <w:sz w:val="24"/>
              </w:rPr>
            </w:pPr>
            <w:r w:rsidRPr="00590503">
              <w:rPr>
                <w:w w:val="95"/>
                <w:sz w:val="24"/>
              </w:rPr>
              <w:t>57,157</w:t>
            </w:r>
          </w:p>
        </w:tc>
        <w:tc>
          <w:tcPr>
            <w:tcW w:w="1217" w:type="dxa"/>
          </w:tcPr>
          <w:p w14:paraId="02D6C4FD" w14:textId="77777777" w:rsidR="00F712AA" w:rsidRPr="00590503" w:rsidRDefault="00F712AA" w:rsidP="00F712AA">
            <w:pPr>
              <w:pStyle w:val="TableParagraph"/>
              <w:ind w:right="49"/>
              <w:jc w:val="both"/>
              <w:rPr>
                <w:w w:val="95"/>
                <w:sz w:val="24"/>
              </w:rPr>
            </w:pPr>
            <w:r w:rsidRPr="00590503">
              <w:rPr>
                <w:w w:val="95"/>
                <w:sz w:val="24"/>
              </w:rPr>
              <w:t>2,56531</w:t>
            </w:r>
          </w:p>
        </w:tc>
        <w:tc>
          <w:tcPr>
            <w:tcW w:w="1195" w:type="dxa"/>
          </w:tcPr>
          <w:p w14:paraId="044FCC72" w14:textId="77777777" w:rsidR="00F712AA" w:rsidRPr="00590503" w:rsidRDefault="00F712AA" w:rsidP="00F712AA">
            <w:pPr>
              <w:pStyle w:val="TableParagraph"/>
              <w:ind w:right="49"/>
              <w:jc w:val="both"/>
              <w:rPr>
                <w:w w:val="95"/>
                <w:sz w:val="24"/>
              </w:rPr>
            </w:pPr>
            <w:r w:rsidRPr="00590503">
              <w:rPr>
                <w:w w:val="95"/>
                <w:sz w:val="24"/>
              </w:rPr>
              <w:t>9,513959</w:t>
            </w:r>
          </w:p>
        </w:tc>
      </w:tr>
      <w:tr w:rsidR="00F712AA" w:rsidRPr="00590503" w14:paraId="28B4AF5B" w14:textId="77777777" w:rsidTr="00EA63B4">
        <w:tc>
          <w:tcPr>
            <w:tcW w:w="1969" w:type="dxa"/>
          </w:tcPr>
          <w:p w14:paraId="5FCBD4D0" w14:textId="77777777" w:rsidR="00F712AA" w:rsidRPr="00590503" w:rsidRDefault="00F712AA" w:rsidP="00F712AA">
            <w:pPr>
              <w:pStyle w:val="TableParagraph"/>
              <w:ind w:right="49"/>
              <w:jc w:val="both"/>
              <w:rPr>
                <w:w w:val="95"/>
                <w:sz w:val="24"/>
              </w:rPr>
            </w:pPr>
            <w:r w:rsidRPr="00590503">
              <w:rPr>
                <w:w w:val="95"/>
                <w:sz w:val="24"/>
              </w:rPr>
              <w:t>AT</w:t>
            </w:r>
          </w:p>
        </w:tc>
        <w:tc>
          <w:tcPr>
            <w:tcW w:w="567" w:type="dxa"/>
          </w:tcPr>
          <w:p w14:paraId="29B01977" w14:textId="77777777" w:rsidR="00F712AA" w:rsidRPr="00590503" w:rsidRDefault="00F712AA" w:rsidP="00F712AA">
            <w:pPr>
              <w:pStyle w:val="TableParagraph"/>
              <w:ind w:right="49"/>
              <w:jc w:val="both"/>
              <w:rPr>
                <w:w w:val="95"/>
                <w:sz w:val="24"/>
              </w:rPr>
            </w:pPr>
            <w:r w:rsidRPr="00590503">
              <w:rPr>
                <w:w w:val="95"/>
                <w:sz w:val="24"/>
              </w:rPr>
              <w:t>35</w:t>
            </w:r>
          </w:p>
        </w:tc>
        <w:tc>
          <w:tcPr>
            <w:tcW w:w="1233" w:type="dxa"/>
          </w:tcPr>
          <w:p w14:paraId="63CDBE60" w14:textId="77777777" w:rsidR="00F712AA" w:rsidRPr="00590503" w:rsidRDefault="00F712AA" w:rsidP="00F712AA">
            <w:pPr>
              <w:pStyle w:val="TableParagraph"/>
              <w:ind w:right="49"/>
              <w:jc w:val="both"/>
              <w:rPr>
                <w:w w:val="95"/>
                <w:sz w:val="24"/>
              </w:rPr>
            </w:pPr>
            <w:r w:rsidRPr="00590503">
              <w:rPr>
                <w:w w:val="95"/>
                <w:sz w:val="24"/>
              </w:rPr>
              <w:t>1</w:t>
            </w:r>
          </w:p>
        </w:tc>
        <w:tc>
          <w:tcPr>
            <w:tcW w:w="1360" w:type="dxa"/>
          </w:tcPr>
          <w:p w14:paraId="670D420A" w14:textId="77777777" w:rsidR="00F712AA" w:rsidRPr="00590503" w:rsidRDefault="00F712AA" w:rsidP="00F712AA">
            <w:pPr>
              <w:pStyle w:val="TableParagraph"/>
              <w:ind w:right="49"/>
              <w:jc w:val="both"/>
              <w:rPr>
                <w:w w:val="95"/>
                <w:sz w:val="24"/>
              </w:rPr>
            </w:pPr>
            <w:r w:rsidRPr="00590503">
              <w:rPr>
                <w:w w:val="95"/>
                <w:sz w:val="24"/>
              </w:rPr>
              <w:t>3</w:t>
            </w:r>
          </w:p>
        </w:tc>
        <w:tc>
          <w:tcPr>
            <w:tcW w:w="1217" w:type="dxa"/>
          </w:tcPr>
          <w:p w14:paraId="02AB5952" w14:textId="77777777" w:rsidR="00F712AA" w:rsidRPr="00590503" w:rsidRDefault="00F712AA" w:rsidP="00F712AA">
            <w:pPr>
              <w:pStyle w:val="TableParagraph"/>
              <w:ind w:right="49"/>
              <w:jc w:val="both"/>
              <w:rPr>
                <w:w w:val="95"/>
                <w:sz w:val="24"/>
              </w:rPr>
            </w:pPr>
            <w:r w:rsidRPr="00590503">
              <w:rPr>
                <w:w w:val="95"/>
                <w:sz w:val="24"/>
              </w:rPr>
              <w:t>1,77</w:t>
            </w:r>
          </w:p>
        </w:tc>
        <w:tc>
          <w:tcPr>
            <w:tcW w:w="1195" w:type="dxa"/>
          </w:tcPr>
          <w:p w14:paraId="028E508C" w14:textId="77777777" w:rsidR="00F712AA" w:rsidRPr="00590503" w:rsidRDefault="00F712AA" w:rsidP="00F712AA">
            <w:pPr>
              <w:pStyle w:val="TableParagraph"/>
              <w:ind w:right="49"/>
              <w:jc w:val="both"/>
              <w:rPr>
                <w:w w:val="95"/>
                <w:sz w:val="24"/>
              </w:rPr>
            </w:pPr>
            <w:r w:rsidRPr="00590503">
              <w:rPr>
                <w:w w:val="95"/>
                <w:sz w:val="24"/>
              </w:rPr>
              <w:t>0,808</w:t>
            </w:r>
          </w:p>
        </w:tc>
      </w:tr>
      <w:tr w:rsidR="00F712AA" w:rsidRPr="00590503" w14:paraId="38DF32DB" w14:textId="77777777" w:rsidTr="00EA63B4">
        <w:tc>
          <w:tcPr>
            <w:tcW w:w="1969" w:type="dxa"/>
          </w:tcPr>
          <w:p w14:paraId="36B7EBC7" w14:textId="77777777" w:rsidR="00F712AA" w:rsidRPr="00590503" w:rsidRDefault="00F712AA" w:rsidP="00F712AA">
            <w:pPr>
              <w:pStyle w:val="TableParagraph"/>
              <w:ind w:right="49"/>
              <w:jc w:val="both"/>
              <w:rPr>
                <w:w w:val="95"/>
                <w:sz w:val="24"/>
              </w:rPr>
            </w:pPr>
            <w:r w:rsidRPr="00590503">
              <w:rPr>
                <w:w w:val="95"/>
                <w:sz w:val="24"/>
              </w:rPr>
              <w:t>FD</w:t>
            </w:r>
          </w:p>
        </w:tc>
        <w:tc>
          <w:tcPr>
            <w:tcW w:w="567" w:type="dxa"/>
          </w:tcPr>
          <w:p w14:paraId="48DD0C8E" w14:textId="77777777" w:rsidR="00F712AA" w:rsidRPr="00590503" w:rsidRDefault="00F712AA" w:rsidP="00F712AA">
            <w:pPr>
              <w:pStyle w:val="TableParagraph"/>
              <w:ind w:right="49"/>
              <w:jc w:val="both"/>
              <w:rPr>
                <w:w w:val="95"/>
                <w:sz w:val="24"/>
              </w:rPr>
            </w:pPr>
            <w:r w:rsidRPr="00590503">
              <w:rPr>
                <w:w w:val="95"/>
                <w:sz w:val="24"/>
              </w:rPr>
              <w:t>35</w:t>
            </w:r>
          </w:p>
        </w:tc>
        <w:tc>
          <w:tcPr>
            <w:tcW w:w="1233" w:type="dxa"/>
          </w:tcPr>
          <w:p w14:paraId="63378690" w14:textId="77777777" w:rsidR="00F712AA" w:rsidRPr="00590503" w:rsidRDefault="00F712AA" w:rsidP="00F712AA">
            <w:pPr>
              <w:pStyle w:val="TableParagraph"/>
              <w:ind w:right="49"/>
              <w:jc w:val="both"/>
              <w:rPr>
                <w:w w:val="95"/>
                <w:sz w:val="24"/>
              </w:rPr>
            </w:pPr>
            <w:r w:rsidRPr="00590503">
              <w:rPr>
                <w:w w:val="95"/>
                <w:sz w:val="24"/>
              </w:rPr>
              <w:t>-7,110</w:t>
            </w:r>
          </w:p>
        </w:tc>
        <w:tc>
          <w:tcPr>
            <w:tcW w:w="1360" w:type="dxa"/>
          </w:tcPr>
          <w:p w14:paraId="6432407D" w14:textId="77777777" w:rsidR="00F712AA" w:rsidRPr="00590503" w:rsidRDefault="00F712AA" w:rsidP="00F712AA">
            <w:pPr>
              <w:pStyle w:val="TableParagraph"/>
              <w:ind w:right="49"/>
              <w:jc w:val="both"/>
              <w:rPr>
                <w:w w:val="95"/>
                <w:sz w:val="24"/>
              </w:rPr>
            </w:pPr>
            <w:r w:rsidRPr="00590503">
              <w:rPr>
                <w:w w:val="95"/>
                <w:sz w:val="24"/>
              </w:rPr>
              <w:t>5,408</w:t>
            </w:r>
          </w:p>
        </w:tc>
        <w:tc>
          <w:tcPr>
            <w:tcW w:w="1217" w:type="dxa"/>
          </w:tcPr>
          <w:p w14:paraId="76E0F71D" w14:textId="77777777" w:rsidR="00F712AA" w:rsidRPr="00590503" w:rsidRDefault="00F712AA" w:rsidP="00F712AA">
            <w:pPr>
              <w:pStyle w:val="TableParagraph"/>
              <w:ind w:right="49"/>
              <w:jc w:val="both"/>
              <w:rPr>
                <w:w w:val="95"/>
                <w:sz w:val="24"/>
              </w:rPr>
            </w:pPr>
            <w:r w:rsidRPr="00590503">
              <w:rPr>
                <w:w w:val="95"/>
                <w:sz w:val="24"/>
              </w:rPr>
              <w:t>1,83311</w:t>
            </w:r>
          </w:p>
        </w:tc>
        <w:tc>
          <w:tcPr>
            <w:tcW w:w="1195" w:type="dxa"/>
          </w:tcPr>
          <w:p w14:paraId="2F750F78" w14:textId="77777777" w:rsidR="00F712AA" w:rsidRPr="00590503" w:rsidRDefault="00F712AA" w:rsidP="00F712AA">
            <w:pPr>
              <w:pStyle w:val="TableParagraph"/>
              <w:ind w:right="49"/>
              <w:jc w:val="both"/>
              <w:rPr>
                <w:w w:val="95"/>
                <w:sz w:val="24"/>
              </w:rPr>
            </w:pPr>
            <w:r w:rsidRPr="00590503">
              <w:rPr>
                <w:w w:val="95"/>
                <w:sz w:val="24"/>
              </w:rPr>
              <w:t>2,084026</w:t>
            </w:r>
          </w:p>
        </w:tc>
      </w:tr>
      <w:tr w:rsidR="00F712AA" w:rsidRPr="00590503" w14:paraId="7878D5BB" w14:textId="77777777" w:rsidTr="00EA63B4">
        <w:tc>
          <w:tcPr>
            <w:tcW w:w="1969" w:type="dxa"/>
            <w:tcBorders>
              <w:bottom w:val="single" w:sz="4" w:space="0" w:color="auto"/>
            </w:tcBorders>
          </w:tcPr>
          <w:p w14:paraId="65AEC13D" w14:textId="77777777" w:rsidR="00F712AA" w:rsidRPr="00590503" w:rsidRDefault="00F712AA" w:rsidP="00F712AA">
            <w:pPr>
              <w:pStyle w:val="TableParagraph"/>
              <w:ind w:right="49"/>
              <w:jc w:val="both"/>
              <w:rPr>
                <w:w w:val="95"/>
                <w:sz w:val="24"/>
              </w:rPr>
            </w:pPr>
            <w:r w:rsidRPr="00590503">
              <w:rPr>
                <w:w w:val="95"/>
                <w:sz w:val="24"/>
              </w:rPr>
              <w:t>Valid N (listwise)</w:t>
            </w:r>
          </w:p>
        </w:tc>
        <w:tc>
          <w:tcPr>
            <w:tcW w:w="567" w:type="dxa"/>
            <w:tcBorders>
              <w:bottom w:val="single" w:sz="4" w:space="0" w:color="auto"/>
            </w:tcBorders>
          </w:tcPr>
          <w:p w14:paraId="7C383E83" w14:textId="77777777" w:rsidR="00F712AA" w:rsidRPr="00590503" w:rsidRDefault="00F712AA" w:rsidP="00F712AA">
            <w:pPr>
              <w:pStyle w:val="TableParagraph"/>
              <w:ind w:right="49"/>
              <w:jc w:val="both"/>
              <w:rPr>
                <w:w w:val="95"/>
                <w:sz w:val="24"/>
              </w:rPr>
            </w:pPr>
            <w:r w:rsidRPr="00590503">
              <w:rPr>
                <w:w w:val="95"/>
                <w:sz w:val="24"/>
              </w:rPr>
              <w:t>35</w:t>
            </w:r>
          </w:p>
        </w:tc>
        <w:tc>
          <w:tcPr>
            <w:tcW w:w="1233" w:type="dxa"/>
            <w:tcBorders>
              <w:bottom w:val="single" w:sz="4" w:space="0" w:color="auto"/>
            </w:tcBorders>
          </w:tcPr>
          <w:p w14:paraId="14C32360" w14:textId="77777777" w:rsidR="00F712AA" w:rsidRPr="00590503" w:rsidRDefault="00F712AA" w:rsidP="00F712AA">
            <w:pPr>
              <w:pStyle w:val="TableParagraph"/>
              <w:ind w:right="49"/>
              <w:jc w:val="both"/>
              <w:rPr>
                <w:w w:val="95"/>
                <w:sz w:val="24"/>
              </w:rPr>
            </w:pPr>
          </w:p>
        </w:tc>
        <w:tc>
          <w:tcPr>
            <w:tcW w:w="1360" w:type="dxa"/>
            <w:tcBorders>
              <w:bottom w:val="single" w:sz="4" w:space="0" w:color="auto"/>
            </w:tcBorders>
          </w:tcPr>
          <w:p w14:paraId="1D30D00D" w14:textId="77777777" w:rsidR="00F712AA" w:rsidRPr="00590503" w:rsidRDefault="00F712AA" w:rsidP="00F712AA">
            <w:pPr>
              <w:pStyle w:val="TableParagraph"/>
              <w:ind w:right="49"/>
              <w:jc w:val="both"/>
              <w:rPr>
                <w:w w:val="95"/>
                <w:sz w:val="24"/>
              </w:rPr>
            </w:pPr>
          </w:p>
        </w:tc>
        <w:tc>
          <w:tcPr>
            <w:tcW w:w="1217" w:type="dxa"/>
            <w:tcBorders>
              <w:bottom w:val="single" w:sz="4" w:space="0" w:color="auto"/>
            </w:tcBorders>
          </w:tcPr>
          <w:p w14:paraId="74AA42B5" w14:textId="77777777" w:rsidR="00F712AA" w:rsidRPr="00590503" w:rsidRDefault="00F712AA" w:rsidP="00F712AA">
            <w:pPr>
              <w:pStyle w:val="TableParagraph"/>
              <w:ind w:right="49"/>
              <w:jc w:val="both"/>
              <w:rPr>
                <w:w w:val="95"/>
                <w:sz w:val="24"/>
              </w:rPr>
            </w:pPr>
          </w:p>
        </w:tc>
        <w:tc>
          <w:tcPr>
            <w:tcW w:w="1195" w:type="dxa"/>
            <w:tcBorders>
              <w:bottom w:val="single" w:sz="4" w:space="0" w:color="auto"/>
            </w:tcBorders>
          </w:tcPr>
          <w:p w14:paraId="42CE1E9A" w14:textId="77777777" w:rsidR="00F712AA" w:rsidRPr="00590503" w:rsidRDefault="00F712AA" w:rsidP="00F712AA">
            <w:pPr>
              <w:pStyle w:val="TableParagraph"/>
              <w:ind w:right="49"/>
              <w:jc w:val="both"/>
              <w:rPr>
                <w:w w:val="95"/>
                <w:sz w:val="24"/>
              </w:rPr>
            </w:pPr>
          </w:p>
        </w:tc>
      </w:tr>
    </w:tbl>
    <w:p w14:paraId="4EAC5454" w14:textId="6D23D5F7" w:rsidR="00F712AA" w:rsidRDefault="00F712AA" w:rsidP="00F712AA">
      <w:pPr>
        <w:pStyle w:val="BodyText"/>
        <w:spacing w:after="0" w:line="240" w:lineRule="auto"/>
        <w:ind w:left="720" w:right="49" w:firstLine="720"/>
        <w:rPr>
          <w:bCs/>
        </w:rPr>
      </w:pPr>
      <w:r>
        <w:rPr>
          <w:bCs/>
        </w:rPr>
        <w:t>S</w:t>
      </w:r>
      <w:r w:rsidRPr="00F31DB0">
        <w:rPr>
          <w:bCs/>
        </w:rPr>
        <w:t>ource: Data Analysis Results, 2024</w:t>
      </w:r>
    </w:p>
    <w:p w14:paraId="2E06DD68" w14:textId="77777777" w:rsidR="00F712AA" w:rsidRPr="00590503" w:rsidRDefault="00F712AA" w:rsidP="00F712AA">
      <w:pPr>
        <w:pStyle w:val="BodyText"/>
        <w:spacing w:after="0" w:line="240" w:lineRule="auto"/>
        <w:ind w:right="49" w:firstLine="708"/>
        <w:rPr>
          <w:bCs/>
        </w:rPr>
      </w:pPr>
    </w:p>
    <w:p w14:paraId="442BFBD9" w14:textId="77777777" w:rsidR="00F712AA" w:rsidRPr="00235034" w:rsidRDefault="00F712AA" w:rsidP="00F712AA">
      <w:pPr>
        <w:pStyle w:val="BodyText"/>
        <w:spacing w:after="0" w:line="360" w:lineRule="auto"/>
        <w:ind w:right="49"/>
        <w:rPr>
          <w:b/>
          <w:lang w:val="id-ID"/>
        </w:rPr>
      </w:pPr>
      <w:r w:rsidRPr="00235034">
        <w:rPr>
          <w:b/>
          <w:iCs/>
        </w:rPr>
        <w:t>Audit Delay</w:t>
      </w:r>
    </w:p>
    <w:p w14:paraId="66698BCC" w14:textId="77777777" w:rsidR="00F712AA" w:rsidRPr="00201154" w:rsidRDefault="00F712AA" w:rsidP="00F712AA">
      <w:pPr>
        <w:pStyle w:val="BodyText"/>
        <w:spacing w:after="0" w:line="360" w:lineRule="auto"/>
        <w:ind w:right="49" w:firstLine="708"/>
        <w:rPr>
          <w:bCs/>
        </w:rPr>
      </w:pPr>
      <w:r w:rsidRPr="00413CA0">
        <w:rPr>
          <w:bCs/>
        </w:rPr>
        <w:t xml:space="preserve">The average audit delay among 35 samples was 105.86 days, with a standard deviation of 34.591, reflecting variability in the timeliness of financial report submissions. PT </w:t>
      </w:r>
      <w:proofErr w:type="spellStart"/>
      <w:r w:rsidRPr="00413CA0">
        <w:rPr>
          <w:bCs/>
        </w:rPr>
        <w:t>Elnusa</w:t>
      </w:r>
      <w:proofErr w:type="spellEnd"/>
      <w:r w:rsidRPr="00413CA0">
        <w:rPr>
          <w:bCs/>
        </w:rPr>
        <w:t xml:space="preserve"> recorded the shortest delay (45 days in 2019), while PT Sky Energy Indonesia reported the longest (189 days in 2021)</w:t>
      </w:r>
      <w:r w:rsidRPr="00201154">
        <w:rPr>
          <w:bCs/>
        </w:rPr>
        <w:t>.</w:t>
      </w:r>
    </w:p>
    <w:p w14:paraId="7A24F463" w14:textId="77777777" w:rsidR="00F712AA" w:rsidRPr="00235034" w:rsidRDefault="00F712AA" w:rsidP="00F712AA">
      <w:pPr>
        <w:pStyle w:val="BodyText"/>
        <w:spacing w:after="0" w:line="360" w:lineRule="auto"/>
        <w:ind w:right="49"/>
        <w:rPr>
          <w:b/>
          <w:lang w:val="id-ID"/>
        </w:rPr>
      </w:pPr>
      <w:r w:rsidRPr="00235034">
        <w:rPr>
          <w:b/>
        </w:rPr>
        <w:t>Company Operational Complexity</w:t>
      </w:r>
    </w:p>
    <w:p w14:paraId="76C06DA7" w14:textId="77777777" w:rsidR="00F712AA" w:rsidRPr="00201154" w:rsidRDefault="00F712AA" w:rsidP="00F712AA">
      <w:pPr>
        <w:pStyle w:val="BodyText"/>
        <w:spacing w:after="0" w:line="360" w:lineRule="auto"/>
        <w:ind w:right="49" w:firstLine="708"/>
        <w:rPr>
          <w:bCs/>
        </w:rPr>
      </w:pPr>
      <w:r w:rsidRPr="008D0364">
        <w:rPr>
          <w:bCs/>
        </w:rPr>
        <w:t>Table 2 presents the results of the descriptive statistical analysis, which included 35 samples from the period of 2019 to 2021. The operational complexity for these companies ranged from a minimum value of 0 for those without subsidiaries to a maximum value of 1 for those with subsidiaries. The average operational complexity was found to be 0.91, wit</w:t>
      </w:r>
      <w:r>
        <w:rPr>
          <w:bCs/>
        </w:rPr>
        <w:t>h a standard deviation of 0.284</w:t>
      </w:r>
      <w:r w:rsidRPr="00F31DB0">
        <w:rPr>
          <w:bCs/>
        </w:rPr>
        <w:t>, indicating that, on average, mining companies had a high level of operational complexity from 2019 to 2021. The low standard deviation indicates minimal variatio</w:t>
      </w:r>
      <w:r>
        <w:rPr>
          <w:bCs/>
        </w:rPr>
        <w:t>n</w:t>
      </w:r>
      <w:r w:rsidRPr="00590503">
        <w:rPr>
          <w:bCs/>
        </w:rPr>
        <w:t>.</w:t>
      </w:r>
    </w:p>
    <w:p w14:paraId="4F3B8AE4" w14:textId="77777777" w:rsidR="00F712AA" w:rsidRPr="00235034" w:rsidRDefault="00F712AA" w:rsidP="00F712AA">
      <w:pPr>
        <w:pStyle w:val="BodyText"/>
        <w:spacing w:after="0" w:line="360" w:lineRule="auto"/>
        <w:ind w:right="49"/>
        <w:rPr>
          <w:b/>
        </w:rPr>
      </w:pPr>
      <w:r w:rsidRPr="00235034">
        <w:rPr>
          <w:b/>
          <w:lang w:val="id-ID"/>
        </w:rPr>
        <w:t>Profitabili</w:t>
      </w:r>
      <w:r w:rsidRPr="00235034">
        <w:rPr>
          <w:b/>
        </w:rPr>
        <w:t>ty</w:t>
      </w:r>
    </w:p>
    <w:p w14:paraId="3A4C23F8" w14:textId="77777777" w:rsidR="00F712AA" w:rsidRPr="00201154" w:rsidRDefault="00F712AA" w:rsidP="00F712AA">
      <w:pPr>
        <w:pStyle w:val="BodyText"/>
        <w:spacing w:after="0" w:line="360" w:lineRule="auto"/>
        <w:ind w:right="49" w:firstLine="708"/>
        <w:rPr>
          <w:bCs/>
        </w:rPr>
      </w:pPr>
      <w:r w:rsidRPr="00F31DB0">
        <w:rPr>
          <w:bCs/>
        </w:rPr>
        <w:t xml:space="preserve">Table 2 also reveals that 35 samples were analyzed for the period 2019-2021. The profitability values range from -0.185, seen in PT Sky Energy Indonesia in 2021, to a maximum of 0.167, observed for PT Dana </w:t>
      </w:r>
      <w:proofErr w:type="spellStart"/>
      <w:r w:rsidRPr="00F31DB0">
        <w:rPr>
          <w:bCs/>
        </w:rPr>
        <w:t>Brata</w:t>
      </w:r>
      <w:proofErr w:type="spellEnd"/>
      <w:r w:rsidRPr="00F31DB0">
        <w:rPr>
          <w:bCs/>
        </w:rPr>
        <w:t xml:space="preserve"> </w:t>
      </w:r>
      <w:proofErr w:type="spellStart"/>
      <w:r w:rsidRPr="00F31DB0">
        <w:rPr>
          <w:bCs/>
        </w:rPr>
        <w:t>Luhur</w:t>
      </w:r>
      <w:proofErr w:type="spellEnd"/>
      <w:r w:rsidRPr="00F31DB0">
        <w:rPr>
          <w:bCs/>
        </w:rPr>
        <w:t xml:space="preserve"> in 2021. </w:t>
      </w:r>
      <w:r w:rsidRPr="00106760">
        <w:rPr>
          <w:bCs/>
        </w:rPr>
        <w:t>The average value stands at 0.02403, with a standard deviation of 0.066165, indicating that mining companies experienced generally low profitability during this timeframe. The small standard deviation reflects minimal variation, suggesting that most companies shared similar profitability levels, though a few faced losses, as shown by the negative minimum value.</w:t>
      </w:r>
    </w:p>
    <w:p w14:paraId="160CC474" w14:textId="77777777" w:rsidR="00F712AA" w:rsidRPr="00235034" w:rsidRDefault="00F712AA" w:rsidP="00F712AA">
      <w:pPr>
        <w:pStyle w:val="BodyText"/>
        <w:spacing w:after="0" w:line="360" w:lineRule="auto"/>
        <w:ind w:right="49"/>
        <w:rPr>
          <w:b/>
        </w:rPr>
      </w:pPr>
      <w:r w:rsidRPr="00235034">
        <w:rPr>
          <w:b/>
          <w:lang w:val="id-ID"/>
        </w:rPr>
        <w:lastRenderedPageBreak/>
        <w:t>Solv</w:t>
      </w:r>
      <w:proofErr w:type="spellStart"/>
      <w:r w:rsidRPr="00235034">
        <w:rPr>
          <w:b/>
        </w:rPr>
        <w:t>ency</w:t>
      </w:r>
      <w:proofErr w:type="spellEnd"/>
    </w:p>
    <w:p w14:paraId="02D94413" w14:textId="77777777" w:rsidR="00F712AA" w:rsidRPr="00590503" w:rsidRDefault="00F712AA" w:rsidP="00F712AA">
      <w:pPr>
        <w:pStyle w:val="BodyText"/>
        <w:spacing w:after="0" w:line="360" w:lineRule="auto"/>
        <w:ind w:right="49" w:firstLine="708"/>
        <w:rPr>
          <w:bCs/>
        </w:rPr>
      </w:pPr>
      <w:r w:rsidRPr="00F31DB0">
        <w:rPr>
          <w:bCs/>
        </w:rPr>
        <w:t xml:space="preserve">For solvency, the results indicate a minimum value of 0.130 (PT Mitra </w:t>
      </w:r>
      <w:proofErr w:type="spellStart"/>
      <w:r w:rsidRPr="00F31DB0">
        <w:rPr>
          <w:bCs/>
        </w:rPr>
        <w:t>Investindo</w:t>
      </w:r>
      <w:proofErr w:type="spellEnd"/>
      <w:r w:rsidRPr="00F31DB0">
        <w:rPr>
          <w:bCs/>
        </w:rPr>
        <w:t xml:space="preserve"> in 2021) and a maximum of 57.157 (PT </w:t>
      </w:r>
      <w:proofErr w:type="spellStart"/>
      <w:r w:rsidRPr="00F31DB0">
        <w:rPr>
          <w:bCs/>
        </w:rPr>
        <w:t>Capitalinc</w:t>
      </w:r>
      <w:proofErr w:type="spellEnd"/>
      <w:r w:rsidRPr="00F31DB0">
        <w:rPr>
          <w:bCs/>
        </w:rPr>
        <w:t xml:space="preserve"> Investment in 2019). The mean solvency ratio is 2.56531, with a high standard deviation of 9.513959, reflecting considerable variation. This suggests that while the average solvency was low, some companies had very </w:t>
      </w:r>
      <w:r>
        <w:rPr>
          <w:bCs/>
        </w:rPr>
        <w:t>high solvency ratios</w:t>
      </w:r>
      <w:r w:rsidRPr="00590503">
        <w:rPr>
          <w:bCs/>
        </w:rPr>
        <w:t>.</w:t>
      </w:r>
    </w:p>
    <w:p w14:paraId="64154DA3" w14:textId="77777777" w:rsidR="00F712AA" w:rsidRPr="00235034" w:rsidRDefault="00F712AA" w:rsidP="00F712AA">
      <w:pPr>
        <w:pStyle w:val="BodyText"/>
        <w:spacing w:after="0" w:line="360" w:lineRule="auto"/>
        <w:ind w:right="49"/>
        <w:rPr>
          <w:b/>
          <w:iCs/>
        </w:rPr>
      </w:pPr>
      <w:r w:rsidRPr="00235034">
        <w:rPr>
          <w:b/>
          <w:iCs/>
        </w:rPr>
        <w:t>Audit Tenure</w:t>
      </w:r>
    </w:p>
    <w:p w14:paraId="20506406" w14:textId="77777777" w:rsidR="00F712AA" w:rsidRPr="00590503" w:rsidRDefault="00F712AA" w:rsidP="00F712AA">
      <w:pPr>
        <w:pStyle w:val="BodyText"/>
        <w:spacing w:after="0" w:line="360" w:lineRule="auto"/>
        <w:ind w:right="49" w:firstLine="708"/>
        <w:rPr>
          <w:bCs/>
        </w:rPr>
      </w:pPr>
      <w:r w:rsidRPr="00F31DB0">
        <w:rPr>
          <w:bCs/>
        </w:rPr>
        <w:t>Based on Table 2, the audit tenure of the 35 samples has a minimum value of 1, meaning each company worked with an audit firm for at least one year. The maximum tenure shows a three-year collaboration with the same audit firm. The mean audit tenure is 1.77 with a standard deviation of 0.808, indicating that mining companies tended to renew or change auditors every one to two years. The low standard deviation suggests high consistency in audit tenure among these companies</w:t>
      </w:r>
      <w:r w:rsidRPr="00590503">
        <w:rPr>
          <w:bCs/>
        </w:rPr>
        <w:t>.</w:t>
      </w:r>
    </w:p>
    <w:p w14:paraId="471A03AF" w14:textId="77777777" w:rsidR="00F712AA" w:rsidRPr="00235034" w:rsidRDefault="00F712AA" w:rsidP="00F712AA">
      <w:pPr>
        <w:pStyle w:val="BodyText"/>
        <w:spacing w:after="0" w:line="360" w:lineRule="auto"/>
        <w:ind w:right="49"/>
        <w:rPr>
          <w:b/>
          <w:iCs/>
        </w:rPr>
      </w:pPr>
      <w:r w:rsidRPr="00235034">
        <w:rPr>
          <w:b/>
          <w:iCs/>
        </w:rPr>
        <w:t>Financial Distress</w:t>
      </w:r>
    </w:p>
    <w:p w14:paraId="4C0C31AE" w14:textId="77777777" w:rsidR="00F712AA" w:rsidRPr="00590503" w:rsidRDefault="00F712AA" w:rsidP="00F712AA">
      <w:pPr>
        <w:pStyle w:val="BodyText"/>
        <w:spacing w:after="0" w:line="360" w:lineRule="auto"/>
        <w:ind w:right="49" w:firstLine="708"/>
        <w:rPr>
          <w:bCs/>
        </w:rPr>
      </w:pPr>
      <w:r w:rsidRPr="00F31DB0">
        <w:rPr>
          <w:bCs/>
        </w:rPr>
        <w:t xml:space="preserve">Financial distress values ranged from -7.110 (PT </w:t>
      </w:r>
      <w:proofErr w:type="spellStart"/>
      <w:r w:rsidRPr="00F31DB0">
        <w:rPr>
          <w:bCs/>
        </w:rPr>
        <w:t>Capitalinc</w:t>
      </w:r>
      <w:proofErr w:type="spellEnd"/>
      <w:r w:rsidRPr="00F31DB0">
        <w:rPr>
          <w:bCs/>
        </w:rPr>
        <w:t xml:space="preserve"> Investment in 2019) to 5.408 (PT Mitra </w:t>
      </w:r>
      <w:proofErr w:type="spellStart"/>
      <w:r w:rsidRPr="00F31DB0">
        <w:rPr>
          <w:bCs/>
        </w:rPr>
        <w:t>Investindo</w:t>
      </w:r>
      <w:proofErr w:type="spellEnd"/>
      <w:r w:rsidRPr="00F31DB0">
        <w:rPr>
          <w:bCs/>
        </w:rPr>
        <w:t xml:space="preserve"> in 2021). The mean value is 1.83311, with a high standard deviation of 2.084026. This suggests that the average mining company maintained financial stability during 2019-2021, though the high standard deviation indicates some companies faced significant financial distress, as reflecte</w:t>
      </w:r>
      <w:r>
        <w:rPr>
          <w:bCs/>
        </w:rPr>
        <w:t>d in the negative minimum value.</w:t>
      </w:r>
    </w:p>
    <w:p w14:paraId="0ADAC9A3" w14:textId="77777777" w:rsidR="00F712AA" w:rsidRPr="00590503" w:rsidRDefault="00F712AA" w:rsidP="00F712AA">
      <w:pPr>
        <w:pStyle w:val="BodyText"/>
        <w:spacing w:after="0" w:line="360" w:lineRule="auto"/>
        <w:ind w:right="49"/>
        <w:rPr>
          <w:b/>
          <w:bCs/>
          <w:lang w:val="id-ID"/>
        </w:rPr>
      </w:pPr>
      <w:bookmarkStart w:id="14" w:name="_Toc181425366"/>
      <w:bookmarkStart w:id="15" w:name="_Toc181430838"/>
      <w:bookmarkStart w:id="16" w:name="_Toc181431682"/>
      <w:bookmarkStart w:id="17" w:name="_Toc181436370"/>
      <w:r w:rsidRPr="00F31DB0">
        <w:rPr>
          <w:b/>
          <w:bCs/>
          <w:lang w:val="id-ID"/>
        </w:rPr>
        <w:t>Classic Assumption Tests</w:t>
      </w:r>
      <w:bookmarkEnd w:id="14"/>
      <w:bookmarkEnd w:id="15"/>
      <w:bookmarkEnd w:id="16"/>
      <w:bookmarkEnd w:id="17"/>
    </w:p>
    <w:p w14:paraId="06763B80" w14:textId="77777777" w:rsidR="00F712AA" w:rsidRPr="00235034" w:rsidRDefault="00F712AA" w:rsidP="00F712AA">
      <w:pPr>
        <w:pStyle w:val="BodyText"/>
        <w:spacing w:after="0" w:line="360" w:lineRule="auto"/>
        <w:ind w:right="49"/>
        <w:rPr>
          <w:b/>
          <w:lang w:val="id-ID"/>
        </w:rPr>
      </w:pPr>
      <w:bookmarkStart w:id="18" w:name="_Toc181425367"/>
      <w:bookmarkStart w:id="19" w:name="_Toc181430839"/>
      <w:bookmarkStart w:id="20" w:name="_Toc181431683"/>
      <w:bookmarkStart w:id="21" w:name="_Toc181436371"/>
      <w:r w:rsidRPr="00235034">
        <w:rPr>
          <w:b/>
          <w:lang w:val="id-ID"/>
        </w:rPr>
        <w:t>Normality Test Results</w:t>
      </w:r>
      <w:bookmarkEnd w:id="18"/>
      <w:bookmarkEnd w:id="19"/>
      <w:bookmarkEnd w:id="20"/>
      <w:bookmarkEnd w:id="21"/>
    </w:p>
    <w:p w14:paraId="00D54358" w14:textId="50BAA0B9" w:rsidR="00F712AA" w:rsidRPr="00235034" w:rsidRDefault="00F712AA" w:rsidP="00F712AA">
      <w:pPr>
        <w:pStyle w:val="BodyText"/>
        <w:spacing w:after="0" w:line="240" w:lineRule="auto"/>
        <w:ind w:right="49" w:firstLine="708"/>
        <w:jc w:val="center"/>
        <w:rPr>
          <w:b/>
        </w:rPr>
      </w:pPr>
      <w:bookmarkStart w:id="22" w:name="_Toc181421862"/>
      <w:bookmarkStart w:id="23" w:name="_Toc181421938"/>
      <w:bookmarkStart w:id="24" w:name="_Toc181422578"/>
      <w:bookmarkStart w:id="25" w:name="_Toc181421826"/>
      <w:r w:rsidRPr="00235034">
        <w:rPr>
          <w:b/>
          <w:lang w:val="id-ID"/>
        </w:rPr>
        <w:t xml:space="preserve">Table </w:t>
      </w:r>
      <w:r w:rsidRPr="00235034">
        <w:rPr>
          <w:b/>
          <w:lang w:val="id-ID"/>
        </w:rPr>
        <w:fldChar w:fldCharType="begin"/>
      </w:r>
      <w:r w:rsidRPr="00235034">
        <w:rPr>
          <w:b/>
          <w:lang w:val="id-ID"/>
        </w:rPr>
        <w:instrText xml:space="preserve"> SEQ Tabel_IV. \* ARABIC </w:instrText>
      </w:r>
      <w:r w:rsidRPr="00235034">
        <w:rPr>
          <w:b/>
          <w:lang w:val="id-ID"/>
        </w:rPr>
        <w:fldChar w:fldCharType="separate"/>
      </w:r>
      <w:r w:rsidRPr="00235034">
        <w:rPr>
          <w:b/>
          <w:noProof/>
          <w:lang w:val="id-ID"/>
        </w:rPr>
        <w:t>3</w:t>
      </w:r>
      <w:bookmarkEnd w:id="22"/>
      <w:bookmarkEnd w:id="23"/>
      <w:bookmarkEnd w:id="24"/>
      <w:r w:rsidRPr="00235034">
        <w:rPr>
          <w:b/>
        </w:rPr>
        <w:fldChar w:fldCharType="end"/>
      </w:r>
      <w:bookmarkEnd w:id="25"/>
    </w:p>
    <w:p w14:paraId="10853008" w14:textId="77777777" w:rsidR="00F712AA" w:rsidRPr="00235034" w:rsidRDefault="00F712AA" w:rsidP="00F712AA">
      <w:pPr>
        <w:pStyle w:val="BodyText"/>
        <w:spacing w:after="0" w:line="240" w:lineRule="auto"/>
        <w:ind w:right="49" w:firstLine="708"/>
        <w:jc w:val="center"/>
        <w:rPr>
          <w:b/>
        </w:rPr>
      </w:pPr>
      <w:r w:rsidRPr="00235034">
        <w:rPr>
          <w:b/>
        </w:rPr>
        <w:t>Normality Test 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3591"/>
      </w:tblGrid>
      <w:tr w:rsidR="00F712AA" w:rsidRPr="00590503" w14:paraId="1F682715" w14:textId="77777777" w:rsidTr="00EA63B4">
        <w:trPr>
          <w:jc w:val="center"/>
        </w:trPr>
        <w:tc>
          <w:tcPr>
            <w:tcW w:w="7181" w:type="dxa"/>
            <w:gridSpan w:val="2"/>
            <w:tcBorders>
              <w:top w:val="single" w:sz="4" w:space="0" w:color="auto"/>
              <w:bottom w:val="single" w:sz="4" w:space="0" w:color="auto"/>
            </w:tcBorders>
          </w:tcPr>
          <w:p w14:paraId="60906B10" w14:textId="77777777" w:rsidR="00F712AA" w:rsidRPr="00590503" w:rsidRDefault="00F712AA" w:rsidP="00F712AA">
            <w:pPr>
              <w:pStyle w:val="TableParagraph"/>
              <w:ind w:right="49"/>
              <w:jc w:val="both"/>
              <w:rPr>
                <w:w w:val="95"/>
                <w:sz w:val="24"/>
              </w:rPr>
            </w:pPr>
            <w:r w:rsidRPr="00590503">
              <w:rPr>
                <w:w w:val="95"/>
                <w:sz w:val="24"/>
              </w:rPr>
              <w:t>One-</w:t>
            </w:r>
            <w:proofErr w:type="spellStart"/>
            <w:r w:rsidRPr="00590503">
              <w:rPr>
                <w:w w:val="95"/>
                <w:sz w:val="24"/>
              </w:rPr>
              <w:t>samp</w:t>
            </w:r>
            <w:proofErr w:type="spellEnd"/>
            <w:r w:rsidRPr="002D4F86">
              <w:rPr>
                <w:rFonts w:ascii="Microsoft Himalaya" w:hAnsi="Microsoft Himalaya"/>
                <w:spacing w:val="-20"/>
                <w:w w:val="1"/>
                <w:sz w:val="5"/>
                <w:szCs w:val="24"/>
                <w:lang w:val="id-ID"/>
              </w:rPr>
              <w:t>l</w:t>
            </w:r>
            <w:r w:rsidRPr="00590503">
              <w:rPr>
                <w:w w:val="95"/>
                <w:sz w:val="24"/>
              </w:rPr>
              <w:t xml:space="preserve">le </w:t>
            </w:r>
            <w:proofErr w:type="spellStart"/>
            <w:r w:rsidRPr="00590503">
              <w:rPr>
                <w:w w:val="95"/>
                <w:sz w:val="24"/>
              </w:rPr>
              <w:t>Kol</w:t>
            </w:r>
            <w:proofErr w:type="spellEnd"/>
            <w:r w:rsidRPr="002D4F86">
              <w:rPr>
                <w:rFonts w:ascii="Microsoft Himalaya" w:hAnsi="Microsoft Himalaya"/>
                <w:spacing w:val="-20"/>
                <w:w w:val="1"/>
                <w:sz w:val="5"/>
                <w:szCs w:val="24"/>
                <w:lang w:val="id-ID"/>
              </w:rPr>
              <w:t>l</w:t>
            </w:r>
            <w:proofErr w:type="spellStart"/>
            <w:r w:rsidRPr="00590503">
              <w:rPr>
                <w:w w:val="95"/>
                <w:sz w:val="24"/>
              </w:rPr>
              <w:t>mogorov-Smi</w:t>
            </w:r>
            <w:proofErr w:type="spellEnd"/>
            <w:r w:rsidRPr="002D4F86">
              <w:rPr>
                <w:rFonts w:ascii="Microsoft Himalaya" w:hAnsi="Microsoft Himalaya"/>
                <w:spacing w:val="-20"/>
                <w:w w:val="1"/>
                <w:sz w:val="5"/>
                <w:szCs w:val="24"/>
                <w:lang w:val="id-ID"/>
              </w:rPr>
              <w:t>l</w:t>
            </w:r>
            <w:proofErr w:type="spellStart"/>
            <w:r w:rsidRPr="00590503">
              <w:rPr>
                <w:w w:val="95"/>
                <w:sz w:val="24"/>
              </w:rPr>
              <w:t>rnov</w:t>
            </w:r>
            <w:proofErr w:type="spellEnd"/>
            <w:r w:rsidRPr="00590503">
              <w:rPr>
                <w:w w:val="95"/>
                <w:sz w:val="24"/>
              </w:rPr>
              <w:t xml:space="preserve"> Test</w:t>
            </w:r>
          </w:p>
        </w:tc>
      </w:tr>
      <w:tr w:rsidR="00F712AA" w:rsidRPr="00590503" w14:paraId="5EB356CD" w14:textId="77777777" w:rsidTr="00EA63B4">
        <w:trPr>
          <w:jc w:val="center"/>
        </w:trPr>
        <w:tc>
          <w:tcPr>
            <w:tcW w:w="3590" w:type="dxa"/>
            <w:tcBorders>
              <w:top w:val="single" w:sz="4" w:space="0" w:color="auto"/>
            </w:tcBorders>
          </w:tcPr>
          <w:p w14:paraId="79B01FC0" w14:textId="77777777" w:rsidR="00F712AA" w:rsidRPr="00590503" w:rsidRDefault="00F712AA" w:rsidP="00F712AA">
            <w:pPr>
              <w:pStyle w:val="TableParagraph"/>
              <w:ind w:right="49"/>
              <w:jc w:val="both"/>
              <w:rPr>
                <w:w w:val="95"/>
                <w:sz w:val="24"/>
              </w:rPr>
            </w:pPr>
          </w:p>
        </w:tc>
        <w:tc>
          <w:tcPr>
            <w:tcW w:w="3591" w:type="dxa"/>
            <w:tcBorders>
              <w:top w:val="single" w:sz="4" w:space="0" w:color="auto"/>
            </w:tcBorders>
          </w:tcPr>
          <w:p w14:paraId="74BF01C2" w14:textId="77777777" w:rsidR="00F712AA" w:rsidRPr="00590503" w:rsidRDefault="00F712AA" w:rsidP="00F712AA">
            <w:pPr>
              <w:pStyle w:val="TableParagraph"/>
              <w:ind w:right="49"/>
              <w:jc w:val="both"/>
              <w:rPr>
                <w:w w:val="95"/>
                <w:sz w:val="24"/>
              </w:rPr>
            </w:pPr>
            <w:r w:rsidRPr="00590503">
              <w:rPr>
                <w:w w:val="95"/>
                <w:sz w:val="24"/>
              </w:rPr>
              <w:t>Unstandardized Residual</w:t>
            </w:r>
          </w:p>
        </w:tc>
      </w:tr>
      <w:tr w:rsidR="00F712AA" w:rsidRPr="00590503" w14:paraId="3AA6C092" w14:textId="77777777" w:rsidTr="00EA63B4">
        <w:trPr>
          <w:jc w:val="center"/>
        </w:trPr>
        <w:tc>
          <w:tcPr>
            <w:tcW w:w="3590" w:type="dxa"/>
            <w:tcBorders>
              <w:bottom w:val="single" w:sz="4" w:space="0" w:color="auto"/>
            </w:tcBorders>
          </w:tcPr>
          <w:p w14:paraId="2115E2E5" w14:textId="77777777" w:rsidR="00F712AA" w:rsidRPr="00590503" w:rsidRDefault="00F712AA" w:rsidP="00F712AA">
            <w:pPr>
              <w:pStyle w:val="TableParagraph"/>
              <w:ind w:right="49"/>
              <w:jc w:val="both"/>
              <w:rPr>
                <w:w w:val="95"/>
                <w:sz w:val="24"/>
              </w:rPr>
            </w:pPr>
            <w:proofErr w:type="spellStart"/>
            <w:r w:rsidRPr="00590503">
              <w:rPr>
                <w:w w:val="95"/>
                <w:sz w:val="24"/>
              </w:rPr>
              <w:t>Asymp</w:t>
            </w:r>
            <w:proofErr w:type="spellEnd"/>
            <w:r w:rsidRPr="00590503">
              <w:rPr>
                <w:w w:val="95"/>
                <w:sz w:val="24"/>
              </w:rPr>
              <w:t>. Sig. (2-Tailed)</w:t>
            </w:r>
          </w:p>
        </w:tc>
        <w:tc>
          <w:tcPr>
            <w:tcW w:w="3591" w:type="dxa"/>
            <w:tcBorders>
              <w:bottom w:val="single" w:sz="4" w:space="0" w:color="auto"/>
            </w:tcBorders>
          </w:tcPr>
          <w:p w14:paraId="5FAE3EA9" w14:textId="77777777" w:rsidR="00F712AA" w:rsidRPr="00590503" w:rsidRDefault="00F712AA" w:rsidP="00F712AA">
            <w:pPr>
              <w:pStyle w:val="TableParagraph"/>
              <w:ind w:right="49"/>
              <w:jc w:val="both"/>
              <w:rPr>
                <w:w w:val="95"/>
                <w:sz w:val="24"/>
              </w:rPr>
            </w:pPr>
            <w:r w:rsidRPr="00590503">
              <w:rPr>
                <w:w w:val="95"/>
                <w:sz w:val="24"/>
              </w:rPr>
              <w:t>0,200</w:t>
            </w:r>
          </w:p>
        </w:tc>
      </w:tr>
    </w:tbl>
    <w:p w14:paraId="2A367F73" w14:textId="64B50CD3" w:rsidR="00F712AA" w:rsidRDefault="00F712AA" w:rsidP="00F712AA">
      <w:pPr>
        <w:pStyle w:val="BodyText"/>
        <w:spacing w:after="0" w:line="240" w:lineRule="auto"/>
        <w:ind w:right="49"/>
        <w:rPr>
          <w:bCs/>
        </w:rPr>
      </w:pPr>
      <w:r>
        <w:rPr>
          <w:bCs/>
        </w:rPr>
        <w:t xml:space="preserve">        </w:t>
      </w:r>
      <w:r>
        <w:rPr>
          <w:bCs/>
        </w:rPr>
        <w:tab/>
      </w:r>
      <w:r>
        <w:rPr>
          <w:bCs/>
        </w:rPr>
        <w:t>Source: Da</w:t>
      </w:r>
      <w:r w:rsidRPr="002D4F86">
        <w:rPr>
          <w:rFonts w:ascii="Microsoft Himalaya" w:hAnsi="Microsoft Himalaya"/>
          <w:spacing w:val="-20"/>
          <w:w w:val="1"/>
          <w:sz w:val="5"/>
          <w:lang w:val="id-ID"/>
        </w:rPr>
        <w:t>l</w:t>
      </w:r>
      <w:r>
        <w:rPr>
          <w:bCs/>
        </w:rPr>
        <w:t>ta Analysis Results, 2024</w:t>
      </w:r>
      <w:r w:rsidRPr="00590503">
        <w:rPr>
          <w:bCs/>
        </w:rPr>
        <w:t>.</w:t>
      </w:r>
    </w:p>
    <w:p w14:paraId="10B9ED12" w14:textId="77777777" w:rsidR="00F712AA" w:rsidRPr="00590503" w:rsidRDefault="00F712AA" w:rsidP="00F712AA">
      <w:pPr>
        <w:pStyle w:val="BodyText"/>
        <w:spacing w:after="0" w:line="240" w:lineRule="auto"/>
        <w:ind w:right="49"/>
        <w:rPr>
          <w:bCs/>
        </w:rPr>
      </w:pPr>
    </w:p>
    <w:p w14:paraId="07C43386" w14:textId="77777777" w:rsidR="00F712AA" w:rsidRPr="00590503" w:rsidRDefault="00F712AA" w:rsidP="00F712AA">
      <w:pPr>
        <w:pStyle w:val="BodyText"/>
        <w:spacing w:after="0" w:line="360" w:lineRule="auto"/>
        <w:ind w:right="49" w:firstLine="708"/>
        <w:rPr>
          <w:bCs/>
        </w:rPr>
      </w:pPr>
      <w:r w:rsidRPr="00413CA0">
        <w:rPr>
          <w:bCs/>
        </w:rPr>
        <w:t>The asymptotic significance value was 0.2 (&gt;</w:t>
      </w:r>
      <w:r>
        <w:rPr>
          <w:bCs/>
        </w:rPr>
        <w:t xml:space="preserve"> </w:t>
      </w:r>
      <w:r w:rsidRPr="00413CA0">
        <w:rPr>
          <w:bCs/>
        </w:rPr>
        <w:t>0.05), indicating that the data follows a normal distribution, fulfilling the normality assumption</w:t>
      </w:r>
      <w:r w:rsidRPr="00590503">
        <w:rPr>
          <w:bCs/>
        </w:rPr>
        <w:t xml:space="preserve">. </w:t>
      </w:r>
    </w:p>
    <w:p w14:paraId="30B5C94E" w14:textId="77777777" w:rsidR="00F712AA" w:rsidRDefault="00F712AA" w:rsidP="00F712AA">
      <w:pPr>
        <w:pStyle w:val="BodyText"/>
        <w:spacing w:after="0" w:line="360" w:lineRule="auto"/>
        <w:ind w:right="49"/>
        <w:rPr>
          <w:bCs/>
          <w:lang w:val="id-ID"/>
        </w:rPr>
      </w:pPr>
      <w:bookmarkStart w:id="26" w:name="_Toc181425368"/>
      <w:bookmarkStart w:id="27" w:name="_Toc181430840"/>
      <w:bookmarkStart w:id="28" w:name="_Toc181431684"/>
      <w:bookmarkStart w:id="29" w:name="_Toc181436372"/>
    </w:p>
    <w:p w14:paraId="008E5A90" w14:textId="77777777" w:rsidR="00F712AA" w:rsidRDefault="00F712AA" w:rsidP="00F712AA">
      <w:pPr>
        <w:pStyle w:val="BodyText"/>
        <w:spacing w:after="0" w:line="360" w:lineRule="auto"/>
        <w:ind w:right="49"/>
        <w:rPr>
          <w:bCs/>
          <w:lang w:val="id-ID"/>
        </w:rPr>
      </w:pPr>
    </w:p>
    <w:p w14:paraId="0CF95FDE" w14:textId="48F8818A" w:rsidR="00F712AA" w:rsidRPr="00F712AA" w:rsidRDefault="00F712AA" w:rsidP="00F712AA">
      <w:pPr>
        <w:pStyle w:val="BodyText"/>
        <w:spacing w:after="0" w:line="360" w:lineRule="auto"/>
        <w:ind w:right="49"/>
        <w:rPr>
          <w:b/>
          <w:lang w:val="id-ID"/>
        </w:rPr>
      </w:pPr>
      <w:r w:rsidRPr="00F712AA">
        <w:rPr>
          <w:b/>
          <w:lang w:val="id-ID"/>
        </w:rPr>
        <w:lastRenderedPageBreak/>
        <w:t>Multicollinearity Test</w:t>
      </w:r>
      <w:bookmarkEnd w:id="26"/>
      <w:bookmarkEnd w:id="27"/>
      <w:bookmarkEnd w:id="28"/>
      <w:bookmarkEnd w:id="29"/>
    </w:p>
    <w:p w14:paraId="55DF865D" w14:textId="73D715F0" w:rsidR="00F712AA" w:rsidRPr="00235034" w:rsidRDefault="00F712AA" w:rsidP="00F712AA">
      <w:pPr>
        <w:pStyle w:val="BodyText"/>
        <w:spacing w:after="0" w:line="240" w:lineRule="auto"/>
        <w:ind w:right="49" w:firstLine="708"/>
        <w:jc w:val="center"/>
        <w:rPr>
          <w:b/>
        </w:rPr>
      </w:pPr>
      <w:bookmarkStart w:id="30" w:name="_Toc181421827"/>
      <w:bookmarkStart w:id="31" w:name="_Toc181421864"/>
      <w:bookmarkStart w:id="32" w:name="_Toc181421940"/>
      <w:bookmarkStart w:id="33" w:name="_Toc181422580"/>
      <w:r w:rsidRPr="00235034">
        <w:rPr>
          <w:b/>
          <w:lang w:val="id-ID"/>
        </w:rPr>
        <w:t xml:space="preserve">Table </w:t>
      </w:r>
      <w:r w:rsidRPr="00235034">
        <w:rPr>
          <w:b/>
          <w:lang w:val="id-ID"/>
        </w:rPr>
        <w:fldChar w:fldCharType="begin"/>
      </w:r>
      <w:r w:rsidRPr="00235034">
        <w:rPr>
          <w:b/>
          <w:lang w:val="id-ID"/>
        </w:rPr>
        <w:instrText xml:space="preserve"> SEQ Tabel_IV. \* ARABIC </w:instrText>
      </w:r>
      <w:r w:rsidRPr="00235034">
        <w:rPr>
          <w:b/>
          <w:lang w:val="id-ID"/>
        </w:rPr>
        <w:fldChar w:fldCharType="separate"/>
      </w:r>
      <w:r w:rsidRPr="00235034">
        <w:rPr>
          <w:b/>
          <w:noProof/>
          <w:lang w:val="id-ID"/>
        </w:rPr>
        <w:t>4</w:t>
      </w:r>
      <w:r w:rsidRPr="00235034">
        <w:rPr>
          <w:b/>
        </w:rPr>
        <w:fldChar w:fldCharType="end"/>
      </w:r>
      <w:bookmarkEnd w:id="30"/>
      <w:bookmarkEnd w:id="31"/>
      <w:bookmarkEnd w:id="32"/>
      <w:bookmarkEnd w:id="33"/>
    </w:p>
    <w:p w14:paraId="7B3278E5" w14:textId="77777777" w:rsidR="00F712AA" w:rsidRPr="00235034" w:rsidRDefault="00F712AA" w:rsidP="00F712AA">
      <w:pPr>
        <w:pStyle w:val="BodyText"/>
        <w:spacing w:after="0" w:line="240" w:lineRule="auto"/>
        <w:ind w:right="49" w:firstLine="708"/>
        <w:jc w:val="center"/>
        <w:rPr>
          <w:b/>
        </w:rPr>
      </w:pPr>
      <w:r w:rsidRPr="00235034">
        <w:rPr>
          <w:b/>
        </w:rPr>
        <w:t>Displays The Findings from the Multicollinearity Test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189"/>
        <w:gridCol w:w="1195"/>
        <w:gridCol w:w="3482"/>
      </w:tblGrid>
      <w:tr w:rsidR="00F712AA" w:rsidRPr="00590503" w14:paraId="3BC4F5D1" w14:textId="77777777" w:rsidTr="00EA63B4">
        <w:tc>
          <w:tcPr>
            <w:tcW w:w="1180" w:type="dxa"/>
            <w:tcBorders>
              <w:top w:val="single" w:sz="4" w:space="0" w:color="auto"/>
              <w:bottom w:val="single" w:sz="4" w:space="0" w:color="auto"/>
            </w:tcBorders>
          </w:tcPr>
          <w:p w14:paraId="5A54E499" w14:textId="77777777" w:rsidR="00F712AA" w:rsidRPr="00590503" w:rsidRDefault="00F712AA" w:rsidP="00F712AA">
            <w:pPr>
              <w:pStyle w:val="TableParagraph"/>
              <w:ind w:right="49"/>
              <w:jc w:val="both"/>
              <w:rPr>
                <w:w w:val="95"/>
                <w:sz w:val="24"/>
              </w:rPr>
            </w:pPr>
            <w:r>
              <w:rPr>
                <w:w w:val="95"/>
                <w:sz w:val="24"/>
              </w:rPr>
              <w:t>Variable</w:t>
            </w:r>
          </w:p>
        </w:tc>
        <w:tc>
          <w:tcPr>
            <w:tcW w:w="1190" w:type="dxa"/>
            <w:tcBorders>
              <w:top w:val="single" w:sz="4" w:space="0" w:color="auto"/>
              <w:bottom w:val="single" w:sz="4" w:space="0" w:color="auto"/>
            </w:tcBorders>
          </w:tcPr>
          <w:p w14:paraId="05D2A1B8" w14:textId="77777777" w:rsidR="00F712AA" w:rsidRPr="00590503" w:rsidRDefault="00F712AA" w:rsidP="00F712AA">
            <w:pPr>
              <w:pStyle w:val="TableParagraph"/>
              <w:ind w:right="49"/>
              <w:jc w:val="both"/>
              <w:rPr>
                <w:w w:val="95"/>
                <w:sz w:val="24"/>
              </w:rPr>
            </w:pPr>
            <w:r>
              <w:rPr>
                <w:w w:val="95"/>
                <w:sz w:val="24"/>
              </w:rPr>
              <w:t>Tolerance</w:t>
            </w:r>
          </w:p>
        </w:tc>
        <w:tc>
          <w:tcPr>
            <w:tcW w:w="1223" w:type="dxa"/>
            <w:tcBorders>
              <w:top w:val="single" w:sz="4" w:space="0" w:color="auto"/>
              <w:bottom w:val="single" w:sz="4" w:space="0" w:color="auto"/>
            </w:tcBorders>
          </w:tcPr>
          <w:p w14:paraId="7C92C50A" w14:textId="77777777" w:rsidR="00F712AA" w:rsidRPr="00590503" w:rsidRDefault="00F712AA" w:rsidP="00F712AA">
            <w:pPr>
              <w:pStyle w:val="TableParagraph"/>
              <w:ind w:right="49"/>
              <w:jc w:val="both"/>
              <w:rPr>
                <w:w w:val="95"/>
                <w:sz w:val="24"/>
              </w:rPr>
            </w:pPr>
            <w:r w:rsidRPr="00590503">
              <w:rPr>
                <w:w w:val="95"/>
                <w:sz w:val="24"/>
              </w:rPr>
              <w:t>VIF</w:t>
            </w:r>
          </w:p>
        </w:tc>
        <w:tc>
          <w:tcPr>
            <w:tcW w:w="3588" w:type="dxa"/>
            <w:tcBorders>
              <w:top w:val="single" w:sz="4" w:space="0" w:color="auto"/>
              <w:bottom w:val="single" w:sz="4" w:space="0" w:color="auto"/>
            </w:tcBorders>
          </w:tcPr>
          <w:p w14:paraId="259E0F7D" w14:textId="77777777" w:rsidR="00F712AA" w:rsidRPr="00590503" w:rsidRDefault="00F712AA" w:rsidP="00F712AA">
            <w:pPr>
              <w:pStyle w:val="TableParagraph"/>
              <w:ind w:right="49"/>
              <w:jc w:val="both"/>
              <w:rPr>
                <w:w w:val="95"/>
                <w:sz w:val="24"/>
              </w:rPr>
            </w:pPr>
            <w:r>
              <w:rPr>
                <w:w w:val="95"/>
                <w:sz w:val="24"/>
              </w:rPr>
              <w:t>Conclusion</w:t>
            </w:r>
          </w:p>
        </w:tc>
      </w:tr>
      <w:tr w:rsidR="00F712AA" w:rsidRPr="00590503" w14:paraId="2E0F4D46" w14:textId="77777777" w:rsidTr="00EA63B4">
        <w:tc>
          <w:tcPr>
            <w:tcW w:w="1180" w:type="dxa"/>
            <w:tcBorders>
              <w:top w:val="single" w:sz="4" w:space="0" w:color="auto"/>
            </w:tcBorders>
          </w:tcPr>
          <w:p w14:paraId="0E1730BD" w14:textId="77777777" w:rsidR="00F712AA" w:rsidRPr="00590503" w:rsidRDefault="00F712AA" w:rsidP="00F712AA">
            <w:pPr>
              <w:pStyle w:val="TableParagraph"/>
              <w:ind w:right="49"/>
              <w:jc w:val="both"/>
              <w:rPr>
                <w:w w:val="95"/>
                <w:sz w:val="24"/>
              </w:rPr>
            </w:pPr>
            <w:r w:rsidRPr="00590503">
              <w:rPr>
                <w:w w:val="95"/>
                <w:sz w:val="24"/>
              </w:rPr>
              <w:t>KOP</w:t>
            </w:r>
          </w:p>
        </w:tc>
        <w:tc>
          <w:tcPr>
            <w:tcW w:w="1190" w:type="dxa"/>
            <w:tcBorders>
              <w:top w:val="single" w:sz="4" w:space="0" w:color="auto"/>
            </w:tcBorders>
          </w:tcPr>
          <w:p w14:paraId="2AB58606" w14:textId="77777777" w:rsidR="00F712AA" w:rsidRPr="00590503" w:rsidRDefault="00F712AA" w:rsidP="00F712AA">
            <w:pPr>
              <w:pStyle w:val="TableParagraph"/>
              <w:ind w:right="49"/>
              <w:jc w:val="both"/>
              <w:rPr>
                <w:w w:val="95"/>
                <w:sz w:val="24"/>
              </w:rPr>
            </w:pPr>
            <w:r w:rsidRPr="00590503">
              <w:rPr>
                <w:w w:val="95"/>
                <w:sz w:val="24"/>
              </w:rPr>
              <w:t>0,847</w:t>
            </w:r>
          </w:p>
        </w:tc>
        <w:tc>
          <w:tcPr>
            <w:tcW w:w="1223" w:type="dxa"/>
            <w:tcBorders>
              <w:top w:val="single" w:sz="4" w:space="0" w:color="auto"/>
            </w:tcBorders>
          </w:tcPr>
          <w:p w14:paraId="10E352F9" w14:textId="77777777" w:rsidR="00F712AA" w:rsidRPr="00590503" w:rsidRDefault="00F712AA" w:rsidP="00F712AA">
            <w:pPr>
              <w:pStyle w:val="TableParagraph"/>
              <w:ind w:right="49"/>
              <w:jc w:val="both"/>
              <w:rPr>
                <w:w w:val="95"/>
                <w:sz w:val="24"/>
              </w:rPr>
            </w:pPr>
            <w:r w:rsidRPr="00590503">
              <w:rPr>
                <w:w w:val="95"/>
                <w:sz w:val="24"/>
              </w:rPr>
              <w:t>1,181</w:t>
            </w:r>
          </w:p>
        </w:tc>
        <w:tc>
          <w:tcPr>
            <w:tcW w:w="3588" w:type="dxa"/>
            <w:tcBorders>
              <w:top w:val="single" w:sz="4" w:space="0" w:color="auto"/>
            </w:tcBorders>
          </w:tcPr>
          <w:p w14:paraId="7BF2D62C" w14:textId="77777777" w:rsidR="00F712AA" w:rsidRPr="00C029DB" w:rsidRDefault="00F712AA" w:rsidP="00F712AA">
            <w:pPr>
              <w:spacing w:after="0" w:line="240" w:lineRule="auto"/>
              <w:ind w:right="49"/>
            </w:pPr>
            <w:r w:rsidRPr="00C029DB">
              <w:t xml:space="preserve">No </w:t>
            </w:r>
            <w:r>
              <w:t>Multicollinearity</w:t>
            </w:r>
          </w:p>
        </w:tc>
      </w:tr>
      <w:tr w:rsidR="00F712AA" w:rsidRPr="00590503" w14:paraId="61F0E593" w14:textId="77777777" w:rsidTr="00EA63B4">
        <w:tc>
          <w:tcPr>
            <w:tcW w:w="1180" w:type="dxa"/>
          </w:tcPr>
          <w:p w14:paraId="1C143080" w14:textId="77777777" w:rsidR="00F712AA" w:rsidRPr="00590503" w:rsidRDefault="00F712AA" w:rsidP="00F712AA">
            <w:pPr>
              <w:pStyle w:val="TableParagraph"/>
              <w:ind w:right="49"/>
              <w:jc w:val="both"/>
              <w:rPr>
                <w:w w:val="95"/>
                <w:sz w:val="24"/>
              </w:rPr>
            </w:pPr>
            <w:r w:rsidRPr="00590503">
              <w:rPr>
                <w:w w:val="95"/>
                <w:sz w:val="24"/>
              </w:rPr>
              <w:t>ROA</w:t>
            </w:r>
          </w:p>
        </w:tc>
        <w:tc>
          <w:tcPr>
            <w:tcW w:w="1190" w:type="dxa"/>
          </w:tcPr>
          <w:p w14:paraId="4D956F92" w14:textId="77777777" w:rsidR="00F712AA" w:rsidRPr="00590503" w:rsidRDefault="00F712AA" w:rsidP="00F712AA">
            <w:pPr>
              <w:pStyle w:val="TableParagraph"/>
              <w:ind w:right="49"/>
              <w:jc w:val="both"/>
              <w:rPr>
                <w:w w:val="95"/>
                <w:sz w:val="24"/>
              </w:rPr>
            </w:pPr>
            <w:r w:rsidRPr="00590503">
              <w:rPr>
                <w:w w:val="95"/>
                <w:sz w:val="24"/>
              </w:rPr>
              <w:t>0,609</w:t>
            </w:r>
          </w:p>
        </w:tc>
        <w:tc>
          <w:tcPr>
            <w:tcW w:w="1223" w:type="dxa"/>
          </w:tcPr>
          <w:p w14:paraId="78E62268" w14:textId="77777777" w:rsidR="00F712AA" w:rsidRPr="00590503" w:rsidRDefault="00F712AA" w:rsidP="00F712AA">
            <w:pPr>
              <w:pStyle w:val="TableParagraph"/>
              <w:ind w:right="49"/>
              <w:jc w:val="both"/>
              <w:rPr>
                <w:w w:val="95"/>
                <w:sz w:val="24"/>
              </w:rPr>
            </w:pPr>
            <w:r w:rsidRPr="00590503">
              <w:rPr>
                <w:w w:val="95"/>
                <w:sz w:val="24"/>
              </w:rPr>
              <w:t>1,642</w:t>
            </w:r>
          </w:p>
        </w:tc>
        <w:tc>
          <w:tcPr>
            <w:tcW w:w="3588" w:type="dxa"/>
          </w:tcPr>
          <w:p w14:paraId="2FC2DEFA" w14:textId="77777777" w:rsidR="00F712AA" w:rsidRPr="00C029DB" w:rsidRDefault="00F712AA" w:rsidP="00F712AA">
            <w:pPr>
              <w:spacing w:after="0" w:line="240" w:lineRule="auto"/>
              <w:ind w:right="49"/>
            </w:pPr>
            <w:r w:rsidRPr="00C029DB">
              <w:t xml:space="preserve">No </w:t>
            </w:r>
            <w:r>
              <w:t>Multicollinearity</w:t>
            </w:r>
          </w:p>
        </w:tc>
      </w:tr>
      <w:tr w:rsidR="00F712AA" w:rsidRPr="00590503" w14:paraId="01A53EB0" w14:textId="77777777" w:rsidTr="00EA63B4">
        <w:tc>
          <w:tcPr>
            <w:tcW w:w="1180" w:type="dxa"/>
          </w:tcPr>
          <w:p w14:paraId="71A4208D" w14:textId="77777777" w:rsidR="00F712AA" w:rsidRPr="00590503" w:rsidRDefault="00F712AA" w:rsidP="00F712AA">
            <w:pPr>
              <w:pStyle w:val="TableParagraph"/>
              <w:ind w:right="49"/>
              <w:jc w:val="both"/>
              <w:rPr>
                <w:w w:val="95"/>
                <w:sz w:val="24"/>
              </w:rPr>
            </w:pPr>
            <w:r w:rsidRPr="00590503">
              <w:rPr>
                <w:w w:val="95"/>
                <w:sz w:val="24"/>
              </w:rPr>
              <w:t>DER</w:t>
            </w:r>
          </w:p>
        </w:tc>
        <w:tc>
          <w:tcPr>
            <w:tcW w:w="1190" w:type="dxa"/>
          </w:tcPr>
          <w:p w14:paraId="4081AD7F" w14:textId="77777777" w:rsidR="00F712AA" w:rsidRPr="00590503" w:rsidRDefault="00F712AA" w:rsidP="00F712AA">
            <w:pPr>
              <w:pStyle w:val="TableParagraph"/>
              <w:ind w:right="49"/>
              <w:jc w:val="both"/>
              <w:rPr>
                <w:w w:val="95"/>
                <w:sz w:val="24"/>
              </w:rPr>
            </w:pPr>
            <w:r w:rsidRPr="00590503">
              <w:rPr>
                <w:w w:val="95"/>
                <w:sz w:val="24"/>
              </w:rPr>
              <w:t>0,347</w:t>
            </w:r>
          </w:p>
        </w:tc>
        <w:tc>
          <w:tcPr>
            <w:tcW w:w="1223" w:type="dxa"/>
          </w:tcPr>
          <w:p w14:paraId="49E9A6BF" w14:textId="77777777" w:rsidR="00F712AA" w:rsidRPr="00590503" w:rsidRDefault="00F712AA" w:rsidP="00F712AA">
            <w:pPr>
              <w:pStyle w:val="TableParagraph"/>
              <w:ind w:right="49"/>
              <w:jc w:val="both"/>
              <w:rPr>
                <w:w w:val="95"/>
                <w:sz w:val="24"/>
              </w:rPr>
            </w:pPr>
            <w:r w:rsidRPr="00590503">
              <w:rPr>
                <w:w w:val="95"/>
                <w:sz w:val="24"/>
              </w:rPr>
              <w:t>2,880</w:t>
            </w:r>
          </w:p>
        </w:tc>
        <w:tc>
          <w:tcPr>
            <w:tcW w:w="3588" w:type="dxa"/>
          </w:tcPr>
          <w:p w14:paraId="23AEBD6A" w14:textId="77777777" w:rsidR="00F712AA" w:rsidRPr="00C029DB" w:rsidRDefault="00F712AA" w:rsidP="00F712AA">
            <w:pPr>
              <w:spacing w:after="0" w:line="240" w:lineRule="auto"/>
              <w:ind w:right="49"/>
            </w:pPr>
            <w:r w:rsidRPr="00C029DB">
              <w:t xml:space="preserve">No </w:t>
            </w:r>
            <w:r>
              <w:t>Multicollinearity</w:t>
            </w:r>
          </w:p>
        </w:tc>
      </w:tr>
      <w:tr w:rsidR="00F712AA" w:rsidRPr="00590503" w14:paraId="4F5C91F2" w14:textId="77777777" w:rsidTr="00EA63B4">
        <w:tc>
          <w:tcPr>
            <w:tcW w:w="1180" w:type="dxa"/>
          </w:tcPr>
          <w:p w14:paraId="3B629BBD" w14:textId="77777777" w:rsidR="00F712AA" w:rsidRPr="00590503" w:rsidRDefault="00F712AA" w:rsidP="00F712AA">
            <w:pPr>
              <w:pStyle w:val="TableParagraph"/>
              <w:ind w:right="49"/>
              <w:jc w:val="both"/>
              <w:rPr>
                <w:w w:val="95"/>
                <w:sz w:val="24"/>
              </w:rPr>
            </w:pPr>
            <w:r w:rsidRPr="00590503">
              <w:rPr>
                <w:w w:val="95"/>
                <w:sz w:val="24"/>
              </w:rPr>
              <w:t>AT</w:t>
            </w:r>
          </w:p>
        </w:tc>
        <w:tc>
          <w:tcPr>
            <w:tcW w:w="1190" w:type="dxa"/>
          </w:tcPr>
          <w:p w14:paraId="50FD652C" w14:textId="77777777" w:rsidR="00F712AA" w:rsidRPr="00590503" w:rsidRDefault="00F712AA" w:rsidP="00F712AA">
            <w:pPr>
              <w:pStyle w:val="TableParagraph"/>
              <w:ind w:right="49"/>
              <w:jc w:val="both"/>
              <w:rPr>
                <w:w w:val="95"/>
                <w:sz w:val="24"/>
              </w:rPr>
            </w:pPr>
            <w:r w:rsidRPr="00590503">
              <w:rPr>
                <w:w w:val="95"/>
                <w:sz w:val="24"/>
              </w:rPr>
              <w:t>0,732</w:t>
            </w:r>
          </w:p>
        </w:tc>
        <w:tc>
          <w:tcPr>
            <w:tcW w:w="1223" w:type="dxa"/>
          </w:tcPr>
          <w:p w14:paraId="241F212D" w14:textId="77777777" w:rsidR="00F712AA" w:rsidRPr="00590503" w:rsidRDefault="00F712AA" w:rsidP="00F712AA">
            <w:pPr>
              <w:pStyle w:val="TableParagraph"/>
              <w:ind w:right="49"/>
              <w:jc w:val="both"/>
              <w:rPr>
                <w:w w:val="95"/>
                <w:sz w:val="24"/>
              </w:rPr>
            </w:pPr>
            <w:r w:rsidRPr="00590503">
              <w:rPr>
                <w:w w:val="95"/>
                <w:sz w:val="24"/>
              </w:rPr>
              <w:t>1,367</w:t>
            </w:r>
          </w:p>
        </w:tc>
        <w:tc>
          <w:tcPr>
            <w:tcW w:w="3588" w:type="dxa"/>
          </w:tcPr>
          <w:p w14:paraId="59488D2B" w14:textId="77777777" w:rsidR="00F712AA" w:rsidRPr="00C029DB" w:rsidRDefault="00F712AA" w:rsidP="00F712AA">
            <w:pPr>
              <w:spacing w:after="0" w:line="240" w:lineRule="auto"/>
              <w:ind w:right="49"/>
            </w:pPr>
            <w:r w:rsidRPr="00C029DB">
              <w:t xml:space="preserve">No </w:t>
            </w:r>
            <w:r>
              <w:t>Multicollinearity</w:t>
            </w:r>
          </w:p>
        </w:tc>
      </w:tr>
      <w:tr w:rsidR="00F712AA" w:rsidRPr="00590503" w14:paraId="2D644968" w14:textId="77777777" w:rsidTr="00EA63B4">
        <w:tc>
          <w:tcPr>
            <w:tcW w:w="1180" w:type="dxa"/>
            <w:tcBorders>
              <w:bottom w:val="single" w:sz="4" w:space="0" w:color="auto"/>
            </w:tcBorders>
          </w:tcPr>
          <w:p w14:paraId="2D57DD43" w14:textId="77777777" w:rsidR="00F712AA" w:rsidRPr="00590503" w:rsidRDefault="00F712AA" w:rsidP="00F712AA">
            <w:pPr>
              <w:pStyle w:val="TableParagraph"/>
              <w:ind w:right="49"/>
              <w:jc w:val="both"/>
              <w:rPr>
                <w:w w:val="95"/>
                <w:sz w:val="24"/>
              </w:rPr>
            </w:pPr>
            <w:r w:rsidRPr="00590503">
              <w:rPr>
                <w:w w:val="95"/>
                <w:sz w:val="24"/>
              </w:rPr>
              <w:t>FD</w:t>
            </w:r>
          </w:p>
        </w:tc>
        <w:tc>
          <w:tcPr>
            <w:tcW w:w="1190" w:type="dxa"/>
            <w:tcBorders>
              <w:bottom w:val="single" w:sz="4" w:space="0" w:color="auto"/>
            </w:tcBorders>
          </w:tcPr>
          <w:p w14:paraId="1ED01FD8" w14:textId="77777777" w:rsidR="00F712AA" w:rsidRPr="00590503" w:rsidRDefault="00F712AA" w:rsidP="00F712AA">
            <w:pPr>
              <w:pStyle w:val="TableParagraph"/>
              <w:ind w:right="49"/>
              <w:jc w:val="both"/>
              <w:rPr>
                <w:w w:val="95"/>
                <w:sz w:val="24"/>
              </w:rPr>
            </w:pPr>
            <w:r w:rsidRPr="00590503">
              <w:rPr>
                <w:w w:val="95"/>
                <w:sz w:val="24"/>
              </w:rPr>
              <w:t>0,270</w:t>
            </w:r>
          </w:p>
        </w:tc>
        <w:tc>
          <w:tcPr>
            <w:tcW w:w="1223" w:type="dxa"/>
            <w:tcBorders>
              <w:bottom w:val="single" w:sz="4" w:space="0" w:color="auto"/>
            </w:tcBorders>
          </w:tcPr>
          <w:p w14:paraId="31626667" w14:textId="77777777" w:rsidR="00F712AA" w:rsidRPr="00590503" w:rsidRDefault="00F712AA" w:rsidP="00F712AA">
            <w:pPr>
              <w:pStyle w:val="TableParagraph"/>
              <w:ind w:right="49"/>
              <w:jc w:val="both"/>
              <w:rPr>
                <w:w w:val="95"/>
                <w:sz w:val="24"/>
              </w:rPr>
            </w:pPr>
            <w:r w:rsidRPr="00590503">
              <w:rPr>
                <w:w w:val="95"/>
                <w:sz w:val="24"/>
              </w:rPr>
              <w:t>3,704</w:t>
            </w:r>
          </w:p>
        </w:tc>
        <w:tc>
          <w:tcPr>
            <w:tcW w:w="3588" w:type="dxa"/>
            <w:tcBorders>
              <w:bottom w:val="single" w:sz="4" w:space="0" w:color="auto"/>
            </w:tcBorders>
          </w:tcPr>
          <w:p w14:paraId="26FF5B74" w14:textId="77777777" w:rsidR="00F712AA" w:rsidRDefault="00F712AA" w:rsidP="00F712AA">
            <w:pPr>
              <w:spacing w:after="0" w:line="240" w:lineRule="auto"/>
              <w:ind w:right="49"/>
            </w:pPr>
            <w:r w:rsidRPr="00C029DB">
              <w:t xml:space="preserve">No </w:t>
            </w:r>
            <w:r>
              <w:t>Multicollinearity</w:t>
            </w:r>
          </w:p>
        </w:tc>
      </w:tr>
    </w:tbl>
    <w:p w14:paraId="7B60F391" w14:textId="016ED6CB" w:rsidR="00F712AA" w:rsidRDefault="00F712AA" w:rsidP="00F712AA">
      <w:pPr>
        <w:pStyle w:val="BodyText"/>
        <w:spacing w:after="0" w:line="240" w:lineRule="auto"/>
        <w:ind w:right="49" w:firstLine="708"/>
        <w:rPr>
          <w:bCs/>
        </w:rPr>
      </w:pPr>
      <w:r>
        <w:rPr>
          <w:bCs/>
        </w:rPr>
        <w:t xml:space="preserve">      </w:t>
      </w:r>
      <w:r>
        <w:rPr>
          <w:bCs/>
        </w:rPr>
        <w:tab/>
      </w:r>
      <w:r w:rsidRPr="001312D0">
        <w:rPr>
          <w:bCs/>
        </w:rPr>
        <w:t>Source: Data Analysis Results, 2024</w:t>
      </w:r>
    </w:p>
    <w:p w14:paraId="6F85F758" w14:textId="77777777" w:rsidR="00F712AA" w:rsidRPr="00590503" w:rsidRDefault="00F712AA" w:rsidP="00F712AA">
      <w:pPr>
        <w:pStyle w:val="BodyText"/>
        <w:spacing w:after="0" w:line="240" w:lineRule="auto"/>
        <w:ind w:right="49" w:firstLine="708"/>
        <w:rPr>
          <w:bCs/>
        </w:rPr>
      </w:pPr>
    </w:p>
    <w:p w14:paraId="516D0B3E" w14:textId="77777777" w:rsidR="00F712AA" w:rsidRPr="00590503" w:rsidRDefault="00F712AA" w:rsidP="00F712AA">
      <w:pPr>
        <w:pStyle w:val="BodyText"/>
        <w:spacing w:after="0" w:line="360" w:lineRule="auto"/>
        <w:ind w:right="49"/>
        <w:rPr>
          <w:bCs/>
        </w:rPr>
      </w:pPr>
      <w:r w:rsidRPr="00413CA0">
        <w:rPr>
          <w:bCs/>
        </w:rPr>
        <w:t>All variables exhibit tolerance &gt;0.10 and VIF &lt;10, confirming no multicollinearity</w:t>
      </w:r>
      <w:r w:rsidRPr="00590503">
        <w:rPr>
          <w:bCs/>
        </w:rPr>
        <w:t>.</w:t>
      </w:r>
    </w:p>
    <w:p w14:paraId="5F55363E" w14:textId="6AED2BB6" w:rsidR="00F712AA" w:rsidRPr="00F712AA" w:rsidRDefault="00F712AA" w:rsidP="00F712AA">
      <w:pPr>
        <w:pStyle w:val="BodyText"/>
        <w:spacing w:after="0" w:line="360" w:lineRule="auto"/>
        <w:ind w:right="49"/>
        <w:rPr>
          <w:b/>
        </w:rPr>
      </w:pPr>
      <w:bookmarkStart w:id="34" w:name="_Toc181425369"/>
      <w:bookmarkStart w:id="35" w:name="_Toc181430841"/>
      <w:bookmarkStart w:id="36" w:name="_Toc181431685"/>
      <w:bookmarkStart w:id="37" w:name="_Toc181436373"/>
      <w:r w:rsidRPr="00F712AA">
        <w:rPr>
          <w:b/>
          <w:lang w:val="id-ID"/>
        </w:rPr>
        <w:t>Autocorrelation</w:t>
      </w:r>
      <w:bookmarkEnd w:id="34"/>
      <w:bookmarkEnd w:id="35"/>
      <w:bookmarkEnd w:id="36"/>
      <w:bookmarkEnd w:id="37"/>
      <w:r w:rsidRPr="00F712AA">
        <w:rPr>
          <w:b/>
        </w:rPr>
        <w:t xml:space="preserve"> Test</w:t>
      </w:r>
    </w:p>
    <w:p w14:paraId="630ED7DD" w14:textId="10E6FCA6" w:rsidR="00F712AA" w:rsidRPr="00F712AA" w:rsidRDefault="00F712AA" w:rsidP="00F712AA">
      <w:pPr>
        <w:pStyle w:val="BodyText"/>
        <w:spacing w:after="0" w:line="240" w:lineRule="auto"/>
        <w:ind w:right="49"/>
        <w:jc w:val="center"/>
        <w:rPr>
          <w:b/>
          <w:lang w:val="id-ID"/>
        </w:rPr>
      </w:pPr>
      <w:bookmarkStart w:id="38" w:name="_Toc181421865"/>
      <w:bookmarkStart w:id="39" w:name="_Toc181421941"/>
      <w:bookmarkStart w:id="40" w:name="_Toc181422581"/>
      <w:bookmarkStart w:id="41" w:name="_Toc181421828"/>
      <w:r w:rsidRPr="00235034">
        <w:rPr>
          <w:b/>
          <w:lang w:val="id-ID"/>
        </w:rPr>
        <w:t xml:space="preserve">Table </w:t>
      </w:r>
      <w:r w:rsidRPr="00235034">
        <w:rPr>
          <w:b/>
          <w:lang w:val="id-ID"/>
        </w:rPr>
        <w:fldChar w:fldCharType="begin"/>
      </w:r>
      <w:r w:rsidRPr="00235034">
        <w:rPr>
          <w:b/>
          <w:lang w:val="id-ID"/>
        </w:rPr>
        <w:instrText xml:space="preserve"> SEQ Tabel_IV. \* ARABIC </w:instrText>
      </w:r>
      <w:r w:rsidRPr="00235034">
        <w:rPr>
          <w:b/>
          <w:lang w:val="id-ID"/>
        </w:rPr>
        <w:fldChar w:fldCharType="separate"/>
      </w:r>
      <w:r w:rsidRPr="00235034">
        <w:rPr>
          <w:b/>
          <w:lang w:val="id-ID"/>
        </w:rPr>
        <w:t>5</w:t>
      </w:r>
      <w:bookmarkEnd w:id="38"/>
      <w:bookmarkEnd w:id="39"/>
      <w:bookmarkEnd w:id="40"/>
      <w:r w:rsidRPr="00F712AA">
        <w:rPr>
          <w:b/>
          <w:lang w:val="id-ID"/>
        </w:rPr>
        <w:fldChar w:fldCharType="end"/>
      </w:r>
      <w:bookmarkEnd w:id="41"/>
    </w:p>
    <w:p w14:paraId="4B7C3657" w14:textId="77777777" w:rsidR="00F712AA" w:rsidRPr="00F712AA" w:rsidRDefault="00F712AA" w:rsidP="00F712AA">
      <w:pPr>
        <w:pStyle w:val="BodyText"/>
        <w:spacing w:after="0" w:line="240" w:lineRule="auto"/>
        <w:ind w:right="49"/>
        <w:jc w:val="center"/>
        <w:rPr>
          <w:b/>
          <w:lang w:val="id-ID"/>
        </w:rPr>
      </w:pPr>
      <w:r w:rsidRPr="00F712AA">
        <w:rPr>
          <w:b/>
          <w:lang w:val="id-ID"/>
        </w:rPr>
        <w:t>Displays The Findings from the Autocorrelation Test</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4675"/>
      </w:tblGrid>
      <w:tr w:rsidR="00F712AA" w:rsidRPr="00590503" w14:paraId="1005DA9B" w14:textId="77777777" w:rsidTr="00EA63B4">
        <w:trPr>
          <w:jc w:val="center"/>
        </w:trPr>
        <w:tc>
          <w:tcPr>
            <w:tcW w:w="905" w:type="dxa"/>
            <w:tcBorders>
              <w:top w:val="single" w:sz="4" w:space="0" w:color="auto"/>
              <w:bottom w:val="single" w:sz="4" w:space="0" w:color="auto"/>
            </w:tcBorders>
          </w:tcPr>
          <w:p w14:paraId="773D8783" w14:textId="77777777" w:rsidR="00F712AA" w:rsidRPr="00590503" w:rsidRDefault="00F712AA" w:rsidP="00F712AA">
            <w:pPr>
              <w:pStyle w:val="TableParagraph"/>
              <w:ind w:right="49"/>
              <w:rPr>
                <w:w w:val="95"/>
                <w:sz w:val="24"/>
              </w:rPr>
            </w:pPr>
            <w:r w:rsidRPr="00590503">
              <w:rPr>
                <w:w w:val="95"/>
                <w:sz w:val="24"/>
              </w:rPr>
              <w:t>Model</w:t>
            </w:r>
          </w:p>
        </w:tc>
        <w:tc>
          <w:tcPr>
            <w:tcW w:w="4675" w:type="dxa"/>
            <w:tcBorders>
              <w:top w:val="single" w:sz="4" w:space="0" w:color="auto"/>
              <w:bottom w:val="single" w:sz="4" w:space="0" w:color="auto"/>
            </w:tcBorders>
          </w:tcPr>
          <w:p w14:paraId="0E84999D" w14:textId="77777777" w:rsidR="00F712AA" w:rsidRPr="00590503" w:rsidRDefault="00F712AA" w:rsidP="00F712AA">
            <w:pPr>
              <w:pStyle w:val="TableParagraph"/>
              <w:ind w:right="49"/>
              <w:rPr>
                <w:w w:val="95"/>
                <w:sz w:val="24"/>
              </w:rPr>
            </w:pPr>
            <w:r w:rsidRPr="00590503">
              <w:rPr>
                <w:w w:val="95"/>
                <w:sz w:val="24"/>
              </w:rPr>
              <w:t>Durbin-Watson</w:t>
            </w:r>
          </w:p>
        </w:tc>
      </w:tr>
      <w:tr w:rsidR="00F712AA" w:rsidRPr="00590503" w14:paraId="457FFF2B" w14:textId="77777777" w:rsidTr="00EA63B4">
        <w:trPr>
          <w:jc w:val="center"/>
        </w:trPr>
        <w:tc>
          <w:tcPr>
            <w:tcW w:w="905" w:type="dxa"/>
            <w:tcBorders>
              <w:top w:val="single" w:sz="4" w:space="0" w:color="auto"/>
            </w:tcBorders>
          </w:tcPr>
          <w:p w14:paraId="4BA0131F" w14:textId="77777777" w:rsidR="00F712AA" w:rsidRPr="00590503" w:rsidRDefault="00F712AA" w:rsidP="00F712AA">
            <w:pPr>
              <w:pStyle w:val="TableParagraph"/>
              <w:ind w:right="49"/>
              <w:rPr>
                <w:w w:val="95"/>
                <w:sz w:val="24"/>
              </w:rPr>
            </w:pPr>
            <w:r w:rsidRPr="00590503">
              <w:rPr>
                <w:w w:val="95"/>
                <w:sz w:val="24"/>
              </w:rPr>
              <w:t>1</w:t>
            </w:r>
          </w:p>
        </w:tc>
        <w:tc>
          <w:tcPr>
            <w:tcW w:w="4675" w:type="dxa"/>
            <w:tcBorders>
              <w:top w:val="single" w:sz="4" w:space="0" w:color="auto"/>
            </w:tcBorders>
          </w:tcPr>
          <w:p w14:paraId="570A698C" w14:textId="77777777" w:rsidR="00F712AA" w:rsidRPr="00590503" w:rsidRDefault="00F712AA" w:rsidP="00F712AA">
            <w:pPr>
              <w:pStyle w:val="TableParagraph"/>
              <w:ind w:right="49"/>
              <w:rPr>
                <w:w w:val="95"/>
                <w:sz w:val="24"/>
              </w:rPr>
            </w:pPr>
            <w:r w:rsidRPr="00590503">
              <w:rPr>
                <w:w w:val="95"/>
                <w:sz w:val="24"/>
              </w:rPr>
              <w:t>1,476</w:t>
            </w:r>
          </w:p>
        </w:tc>
      </w:tr>
    </w:tbl>
    <w:p w14:paraId="5A6CF042" w14:textId="1D6E10AB" w:rsidR="00F712AA" w:rsidRDefault="00F712AA" w:rsidP="00F712AA">
      <w:pPr>
        <w:pStyle w:val="BodyText"/>
        <w:spacing w:after="0" w:line="240" w:lineRule="auto"/>
        <w:ind w:right="49"/>
        <w:rPr>
          <w:bCs/>
        </w:rPr>
      </w:pPr>
      <w:r>
        <w:rPr>
          <w:bCs/>
        </w:rPr>
        <w:t xml:space="preserve">          </w:t>
      </w:r>
      <w:r>
        <w:rPr>
          <w:bCs/>
        </w:rPr>
        <w:tab/>
      </w:r>
      <w:r>
        <w:rPr>
          <w:bCs/>
        </w:rPr>
        <w:tab/>
      </w:r>
      <w:r w:rsidRPr="001312D0">
        <w:rPr>
          <w:bCs/>
        </w:rPr>
        <w:t>Source: Data Analysis Results, 2024</w:t>
      </w:r>
    </w:p>
    <w:p w14:paraId="629DFB83" w14:textId="77777777" w:rsidR="00F712AA" w:rsidRPr="00590503" w:rsidRDefault="00F712AA" w:rsidP="00F712AA">
      <w:pPr>
        <w:pStyle w:val="BodyText"/>
        <w:spacing w:after="0" w:line="240" w:lineRule="auto"/>
        <w:ind w:right="49"/>
        <w:rPr>
          <w:bCs/>
        </w:rPr>
      </w:pPr>
    </w:p>
    <w:p w14:paraId="2049F370" w14:textId="77777777" w:rsidR="00F712AA" w:rsidRPr="00590503" w:rsidRDefault="00F712AA" w:rsidP="00F712AA">
      <w:pPr>
        <w:pStyle w:val="BodyText"/>
        <w:spacing w:after="0" w:line="360" w:lineRule="auto"/>
        <w:ind w:right="49"/>
        <w:rPr>
          <w:bCs/>
        </w:rPr>
      </w:pPr>
      <w:r w:rsidRPr="00413CA0">
        <w:rPr>
          <w:bCs/>
        </w:rPr>
        <w:t>The Durbin-Watson statistic of 1.476 (within -2 to 2) indicates no autocorrelation</w:t>
      </w:r>
      <w:r w:rsidRPr="00590503">
        <w:rPr>
          <w:bCs/>
        </w:rPr>
        <w:t>.</w:t>
      </w:r>
    </w:p>
    <w:p w14:paraId="500CD2E6" w14:textId="2282441E" w:rsidR="00F712AA" w:rsidRPr="00F712AA" w:rsidRDefault="00F712AA" w:rsidP="00F712AA">
      <w:pPr>
        <w:pStyle w:val="BodyText"/>
        <w:spacing w:after="0" w:line="360" w:lineRule="auto"/>
        <w:ind w:right="49"/>
        <w:rPr>
          <w:b/>
          <w:lang w:val="id-ID"/>
        </w:rPr>
      </w:pPr>
      <w:bookmarkStart w:id="42" w:name="_Toc181425370"/>
      <w:bookmarkStart w:id="43" w:name="_Toc181430842"/>
      <w:bookmarkStart w:id="44" w:name="_Toc181431686"/>
      <w:bookmarkStart w:id="45" w:name="_Toc181436374"/>
      <w:r w:rsidRPr="00F712AA">
        <w:rPr>
          <w:b/>
          <w:lang w:val="id-ID"/>
        </w:rPr>
        <w:t>Heteroscedasticity Test</w:t>
      </w:r>
      <w:bookmarkEnd w:id="42"/>
      <w:bookmarkEnd w:id="43"/>
      <w:bookmarkEnd w:id="44"/>
      <w:bookmarkEnd w:id="45"/>
    </w:p>
    <w:p w14:paraId="7D35EB9F" w14:textId="77777777" w:rsidR="00F712AA" w:rsidRPr="00F712AA" w:rsidRDefault="00F712AA" w:rsidP="00F712AA">
      <w:pPr>
        <w:pStyle w:val="BodyText"/>
        <w:spacing w:after="0" w:line="240" w:lineRule="auto"/>
        <w:ind w:right="49"/>
        <w:jc w:val="center"/>
        <w:rPr>
          <w:b/>
        </w:rPr>
      </w:pPr>
      <w:bookmarkStart w:id="46" w:name="_Toc181421867"/>
      <w:bookmarkStart w:id="47" w:name="_Toc181421943"/>
      <w:bookmarkStart w:id="48" w:name="_Toc181422583"/>
      <w:bookmarkStart w:id="49" w:name="_Toc181421829"/>
      <w:r w:rsidRPr="00F712AA">
        <w:rPr>
          <w:b/>
          <w:lang w:val="id-ID"/>
        </w:rPr>
        <w:t xml:space="preserve">Table </w:t>
      </w:r>
      <w:r w:rsidRPr="00F712AA">
        <w:rPr>
          <w:b/>
          <w:lang w:val="id-ID"/>
        </w:rPr>
        <w:fldChar w:fldCharType="begin"/>
      </w:r>
      <w:r w:rsidRPr="00F712AA">
        <w:rPr>
          <w:b/>
          <w:lang w:val="id-ID"/>
        </w:rPr>
        <w:instrText xml:space="preserve"> SEQ Tabel_IV. \* ARABIC </w:instrText>
      </w:r>
      <w:r w:rsidRPr="00F712AA">
        <w:rPr>
          <w:b/>
          <w:lang w:val="id-ID"/>
        </w:rPr>
        <w:fldChar w:fldCharType="separate"/>
      </w:r>
      <w:r w:rsidRPr="00F712AA">
        <w:rPr>
          <w:b/>
          <w:noProof/>
          <w:lang w:val="id-ID"/>
        </w:rPr>
        <w:t>6</w:t>
      </w:r>
      <w:bookmarkEnd w:id="46"/>
      <w:bookmarkEnd w:id="47"/>
      <w:bookmarkEnd w:id="48"/>
      <w:r w:rsidRPr="00F712AA">
        <w:rPr>
          <w:b/>
        </w:rPr>
        <w:fldChar w:fldCharType="end"/>
      </w:r>
      <w:bookmarkEnd w:id="49"/>
    </w:p>
    <w:p w14:paraId="170398C6" w14:textId="49026DAA" w:rsidR="00F712AA" w:rsidRPr="00F712AA" w:rsidRDefault="00F712AA" w:rsidP="00F712AA">
      <w:pPr>
        <w:pStyle w:val="BodyText"/>
        <w:spacing w:after="0" w:line="240" w:lineRule="auto"/>
        <w:ind w:right="49"/>
        <w:jc w:val="center"/>
        <w:rPr>
          <w:b/>
        </w:rPr>
      </w:pPr>
      <w:r w:rsidRPr="00F712AA">
        <w:rPr>
          <w:b/>
        </w:rPr>
        <w:t>Presents The Findings from the Heteroscedasticity 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17"/>
        <w:gridCol w:w="3544"/>
      </w:tblGrid>
      <w:tr w:rsidR="00F712AA" w:rsidRPr="00590503" w14:paraId="0CEE6AE1" w14:textId="77777777" w:rsidTr="00EA63B4">
        <w:trPr>
          <w:jc w:val="center"/>
        </w:trPr>
        <w:tc>
          <w:tcPr>
            <w:tcW w:w="1440" w:type="dxa"/>
            <w:tcBorders>
              <w:top w:val="single" w:sz="4" w:space="0" w:color="auto"/>
              <w:bottom w:val="single" w:sz="4" w:space="0" w:color="auto"/>
            </w:tcBorders>
          </w:tcPr>
          <w:p w14:paraId="0008A7E5" w14:textId="77777777" w:rsidR="00F712AA" w:rsidRPr="00590503" w:rsidRDefault="00F712AA" w:rsidP="00F712AA">
            <w:pPr>
              <w:pStyle w:val="TableParagraph"/>
              <w:ind w:right="49"/>
              <w:jc w:val="both"/>
              <w:rPr>
                <w:w w:val="95"/>
                <w:sz w:val="24"/>
              </w:rPr>
            </w:pPr>
            <w:r>
              <w:rPr>
                <w:w w:val="95"/>
                <w:sz w:val="24"/>
              </w:rPr>
              <w:t>Variable</w:t>
            </w:r>
          </w:p>
        </w:tc>
        <w:tc>
          <w:tcPr>
            <w:tcW w:w="1417" w:type="dxa"/>
            <w:tcBorders>
              <w:top w:val="single" w:sz="4" w:space="0" w:color="auto"/>
              <w:bottom w:val="single" w:sz="4" w:space="0" w:color="auto"/>
            </w:tcBorders>
          </w:tcPr>
          <w:p w14:paraId="671DA600" w14:textId="77777777" w:rsidR="00F712AA" w:rsidRPr="00590503" w:rsidRDefault="00F712AA" w:rsidP="00F712AA">
            <w:pPr>
              <w:pStyle w:val="TableParagraph"/>
              <w:ind w:right="49"/>
              <w:jc w:val="both"/>
              <w:rPr>
                <w:w w:val="95"/>
                <w:sz w:val="24"/>
              </w:rPr>
            </w:pPr>
            <w:r w:rsidRPr="00590503">
              <w:rPr>
                <w:w w:val="95"/>
                <w:sz w:val="24"/>
              </w:rPr>
              <w:t>Sig.</w:t>
            </w:r>
          </w:p>
        </w:tc>
        <w:tc>
          <w:tcPr>
            <w:tcW w:w="3544" w:type="dxa"/>
            <w:tcBorders>
              <w:top w:val="single" w:sz="4" w:space="0" w:color="auto"/>
              <w:bottom w:val="single" w:sz="4" w:space="0" w:color="auto"/>
            </w:tcBorders>
          </w:tcPr>
          <w:p w14:paraId="77763579" w14:textId="77777777" w:rsidR="00F712AA" w:rsidRPr="00590503" w:rsidRDefault="00F712AA" w:rsidP="00F712AA">
            <w:pPr>
              <w:pStyle w:val="TableParagraph"/>
              <w:ind w:right="49"/>
              <w:jc w:val="both"/>
              <w:rPr>
                <w:w w:val="95"/>
                <w:sz w:val="24"/>
              </w:rPr>
            </w:pPr>
            <w:r>
              <w:rPr>
                <w:w w:val="95"/>
                <w:sz w:val="24"/>
              </w:rPr>
              <w:t>Information</w:t>
            </w:r>
          </w:p>
        </w:tc>
      </w:tr>
      <w:tr w:rsidR="00F712AA" w:rsidRPr="00590503" w14:paraId="1BC80996" w14:textId="77777777" w:rsidTr="00EA63B4">
        <w:trPr>
          <w:jc w:val="center"/>
        </w:trPr>
        <w:tc>
          <w:tcPr>
            <w:tcW w:w="1440" w:type="dxa"/>
            <w:tcBorders>
              <w:top w:val="single" w:sz="4" w:space="0" w:color="auto"/>
            </w:tcBorders>
          </w:tcPr>
          <w:p w14:paraId="31870066" w14:textId="77777777" w:rsidR="00F712AA" w:rsidRPr="00590503" w:rsidRDefault="00F712AA" w:rsidP="00F712AA">
            <w:pPr>
              <w:pStyle w:val="TableParagraph"/>
              <w:ind w:right="49"/>
              <w:jc w:val="both"/>
              <w:rPr>
                <w:w w:val="95"/>
                <w:sz w:val="24"/>
              </w:rPr>
            </w:pPr>
            <w:r w:rsidRPr="00590503">
              <w:rPr>
                <w:w w:val="95"/>
                <w:sz w:val="24"/>
              </w:rPr>
              <w:t>KOP</w:t>
            </w:r>
          </w:p>
        </w:tc>
        <w:tc>
          <w:tcPr>
            <w:tcW w:w="1417" w:type="dxa"/>
            <w:tcBorders>
              <w:top w:val="single" w:sz="4" w:space="0" w:color="auto"/>
            </w:tcBorders>
          </w:tcPr>
          <w:p w14:paraId="2327078C" w14:textId="77777777" w:rsidR="00F712AA" w:rsidRPr="00590503" w:rsidRDefault="00F712AA" w:rsidP="00F712AA">
            <w:pPr>
              <w:pStyle w:val="TableParagraph"/>
              <w:ind w:right="49"/>
              <w:jc w:val="both"/>
              <w:rPr>
                <w:w w:val="95"/>
                <w:sz w:val="24"/>
              </w:rPr>
            </w:pPr>
            <w:r w:rsidRPr="00590503">
              <w:rPr>
                <w:w w:val="95"/>
                <w:sz w:val="24"/>
              </w:rPr>
              <w:t>0,810</w:t>
            </w:r>
          </w:p>
        </w:tc>
        <w:tc>
          <w:tcPr>
            <w:tcW w:w="3544" w:type="dxa"/>
            <w:tcBorders>
              <w:top w:val="single" w:sz="4" w:space="0" w:color="auto"/>
            </w:tcBorders>
          </w:tcPr>
          <w:p w14:paraId="2B594C12" w14:textId="77777777" w:rsidR="00F712AA" w:rsidRPr="005C6CB6" w:rsidRDefault="00F712AA" w:rsidP="00F712AA">
            <w:pPr>
              <w:spacing w:after="0" w:line="240" w:lineRule="auto"/>
              <w:ind w:right="49"/>
            </w:pPr>
            <w:r w:rsidRPr="005C6CB6">
              <w:t>No Heteroscedasticity</w:t>
            </w:r>
          </w:p>
        </w:tc>
      </w:tr>
      <w:tr w:rsidR="00F712AA" w:rsidRPr="00590503" w14:paraId="0762883C" w14:textId="77777777" w:rsidTr="00EA63B4">
        <w:trPr>
          <w:jc w:val="center"/>
        </w:trPr>
        <w:tc>
          <w:tcPr>
            <w:tcW w:w="1440" w:type="dxa"/>
          </w:tcPr>
          <w:p w14:paraId="64247810" w14:textId="77777777" w:rsidR="00F712AA" w:rsidRPr="00590503" w:rsidRDefault="00F712AA" w:rsidP="00F712AA">
            <w:pPr>
              <w:pStyle w:val="TableParagraph"/>
              <w:ind w:right="49"/>
              <w:jc w:val="both"/>
              <w:rPr>
                <w:w w:val="95"/>
                <w:sz w:val="24"/>
              </w:rPr>
            </w:pPr>
            <w:r w:rsidRPr="00590503">
              <w:rPr>
                <w:w w:val="95"/>
                <w:sz w:val="24"/>
              </w:rPr>
              <w:t>ROA</w:t>
            </w:r>
          </w:p>
        </w:tc>
        <w:tc>
          <w:tcPr>
            <w:tcW w:w="1417" w:type="dxa"/>
          </w:tcPr>
          <w:p w14:paraId="661EDCF8" w14:textId="77777777" w:rsidR="00F712AA" w:rsidRPr="00590503" w:rsidRDefault="00F712AA" w:rsidP="00F712AA">
            <w:pPr>
              <w:pStyle w:val="TableParagraph"/>
              <w:ind w:right="49"/>
              <w:jc w:val="both"/>
              <w:rPr>
                <w:w w:val="95"/>
                <w:sz w:val="24"/>
              </w:rPr>
            </w:pPr>
            <w:r w:rsidRPr="00590503">
              <w:rPr>
                <w:w w:val="95"/>
                <w:sz w:val="24"/>
              </w:rPr>
              <w:t>0,133</w:t>
            </w:r>
          </w:p>
        </w:tc>
        <w:tc>
          <w:tcPr>
            <w:tcW w:w="3544" w:type="dxa"/>
          </w:tcPr>
          <w:p w14:paraId="49100A28" w14:textId="77777777" w:rsidR="00F712AA" w:rsidRPr="005C6CB6" w:rsidRDefault="00F712AA" w:rsidP="00F712AA">
            <w:pPr>
              <w:spacing w:after="0" w:line="240" w:lineRule="auto"/>
              <w:ind w:right="49"/>
            </w:pPr>
            <w:r w:rsidRPr="005C6CB6">
              <w:t>No Heteroscedasticity</w:t>
            </w:r>
          </w:p>
        </w:tc>
      </w:tr>
      <w:tr w:rsidR="00F712AA" w:rsidRPr="00590503" w14:paraId="74921285" w14:textId="77777777" w:rsidTr="00EA63B4">
        <w:trPr>
          <w:jc w:val="center"/>
        </w:trPr>
        <w:tc>
          <w:tcPr>
            <w:tcW w:w="1440" w:type="dxa"/>
          </w:tcPr>
          <w:p w14:paraId="6A112842" w14:textId="77777777" w:rsidR="00F712AA" w:rsidRPr="00590503" w:rsidRDefault="00F712AA" w:rsidP="00F712AA">
            <w:pPr>
              <w:pStyle w:val="TableParagraph"/>
              <w:ind w:right="49"/>
              <w:jc w:val="both"/>
              <w:rPr>
                <w:w w:val="95"/>
                <w:sz w:val="24"/>
              </w:rPr>
            </w:pPr>
            <w:r w:rsidRPr="00590503">
              <w:rPr>
                <w:w w:val="95"/>
                <w:sz w:val="24"/>
              </w:rPr>
              <w:t>DER</w:t>
            </w:r>
          </w:p>
        </w:tc>
        <w:tc>
          <w:tcPr>
            <w:tcW w:w="1417" w:type="dxa"/>
          </w:tcPr>
          <w:p w14:paraId="2F424A3D" w14:textId="77777777" w:rsidR="00F712AA" w:rsidRPr="00590503" w:rsidRDefault="00F712AA" w:rsidP="00F712AA">
            <w:pPr>
              <w:pStyle w:val="TableParagraph"/>
              <w:ind w:right="49"/>
              <w:jc w:val="both"/>
              <w:rPr>
                <w:w w:val="95"/>
                <w:sz w:val="24"/>
              </w:rPr>
            </w:pPr>
            <w:r w:rsidRPr="00590503">
              <w:rPr>
                <w:w w:val="95"/>
                <w:sz w:val="24"/>
              </w:rPr>
              <w:t>0,982</w:t>
            </w:r>
          </w:p>
        </w:tc>
        <w:tc>
          <w:tcPr>
            <w:tcW w:w="3544" w:type="dxa"/>
          </w:tcPr>
          <w:p w14:paraId="1D26CCF8" w14:textId="77777777" w:rsidR="00F712AA" w:rsidRPr="005C6CB6" w:rsidRDefault="00F712AA" w:rsidP="00F712AA">
            <w:pPr>
              <w:spacing w:after="0" w:line="240" w:lineRule="auto"/>
              <w:ind w:right="49"/>
            </w:pPr>
            <w:r w:rsidRPr="005C6CB6">
              <w:t xml:space="preserve">No </w:t>
            </w:r>
            <w:r>
              <w:t>Heteroscedasticity</w:t>
            </w:r>
          </w:p>
        </w:tc>
      </w:tr>
      <w:tr w:rsidR="00F712AA" w:rsidRPr="00590503" w14:paraId="3FA95CA9" w14:textId="77777777" w:rsidTr="00EA63B4">
        <w:trPr>
          <w:jc w:val="center"/>
        </w:trPr>
        <w:tc>
          <w:tcPr>
            <w:tcW w:w="1440" w:type="dxa"/>
          </w:tcPr>
          <w:p w14:paraId="22DD5CA6" w14:textId="77777777" w:rsidR="00F712AA" w:rsidRPr="00590503" w:rsidRDefault="00F712AA" w:rsidP="00F712AA">
            <w:pPr>
              <w:pStyle w:val="TableParagraph"/>
              <w:ind w:right="49"/>
              <w:jc w:val="both"/>
              <w:rPr>
                <w:w w:val="95"/>
                <w:sz w:val="24"/>
              </w:rPr>
            </w:pPr>
            <w:r w:rsidRPr="00590503">
              <w:rPr>
                <w:w w:val="95"/>
                <w:sz w:val="24"/>
              </w:rPr>
              <w:t>AT</w:t>
            </w:r>
          </w:p>
        </w:tc>
        <w:tc>
          <w:tcPr>
            <w:tcW w:w="1417" w:type="dxa"/>
          </w:tcPr>
          <w:p w14:paraId="2138082D" w14:textId="77777777" w:rsidR="00F712AA" w:rsidRPr="00590503" w:rsidRDefault="00F712AA" w:rsidP="00F712AA">
            <w:pPr>
              <w:pStyle w:val="TableParagraph"/>
              <w:ind w:right="49"/>
              <w:jc w:val="both"/>
              <w:rPr>
                <w:w w:val="95"/>
                <w:sz w:val="24"/>
              </w:rPr>
            </w:pPr>
            <w:r w:rsidRPr="00590503">
              <w:rPr>
                <w:w w:val="95"/>
                <w:sz w:val="24"/>
              </w:rPr>
              <w:t>0,306</w:t>
            </w:r>
          </w:p>
        </w:tc>
        <w:tc>
          <w:tcPr>
            <w:tcW w:w="3544" w:type="dxa"/>
          </w:tcPr>
          <w:p w14:paraId="7D9E5ED7" w14:textId="77777777" w:rsidR="00F712AA" w:rsidRPr="005C6CB6" w:rsidRDefault="00F712AA" w:rsidP="00F712AA">
            <w:pPr>
              <w:spacing w:after="0" w:line="240" w:lineRule="auto"/>
              <w:ind w:right="49"/>
            </w:pPr>
            <w:r w:rsidRPr="005C6CB6">
              <w:t xml:space="preserve">No </w:t>
            </w:r>
            <w:r>
              <w:t>Heteroscedasticity</w:t>
            </w:r>
          </w:p>
        </w:tc>
      </w:tr>
      <w:tr w:rsidR="00F712AA" w:rsidRPr="00590503" w14:paraId="0965E448" w14:textId="77777777" w:rsidTr="00EA63B4">
        <w:trPr>
          <w:jc w:val="center"/>
        </w:trPr>
        <w:tc>
          <w:tcPr>
            <w:tcW w:w="1440" w:type="dxa"/>
            <w:tcBorders>
              <w:bottom w:val="single" w:sz="4" w:space="0" w:color="auto"/>
            </w:tcBorders>
          </w:tcPr>
          <w:p w14:paraId="5F54914A" w14:textId="77777777" w:rsidR="00F712AA" w:rsidRPr="00590503" w:rsidRDefault="00F712AA" w:rsidP="00F712AA">
            <w:pPr>
              <w:pStyle w:val="TableParagraph"/>
              <w:ind w:right="49"/>
              <w:jc w:val="both"/>
              <w:rPr>
                <w:w w:val="95"/>
                <w:sz w:val="24"/>
              </w:rPr>
            </w:pPr>
            <w:r w:rsidRPr="00590503">
              <w:rPr>
                <w:w w:val="95"/>
                <w:sz w:val="24"/>
              </w:rPr>
              <w:t>FD</w:t>
            </w:r>
          </w:p>
        </w:tc>
        <w:tc>
          <w:tcPr>
            <w:tcW w:w="1417" w:type="dxa"/>
            <w:tcBorders>
              <w:bottom w:val="single" w:sz="4" w:space="0" w:color="auto"/>
            </w:tcBorders>
          </w:tcPr>
          <w:p w14:paraId="4A56B22D" w14:textId="77777777" w:rsidR="00F712AA" w:rsidRPr="00590503" w:rsidRDefault="00F712AA" w:rsidP="00F712AA">
            <w:pPr>
              <w:pStyle w:val="TableParagraph"/>
              <w:ind w:right="49"/>
              <w:jc w:val="both"/>
              <w:rPr>
                <w:w w:val="95"/>
                <w:sz w:val="24"/>
              </w:rPr>
            </w:pPr>
            <w:r w:rsidRPr="00590503">
              <w:rPr>
                <w:w w:val="95"/>
                <w:sz w:val="24"/>
              </w:rPr>
              <w:t>0,285</w:t>
            </w:r>
          </w:p>
        </w:tc>
        <w:tc>
          <w:tcPr>
            <w:tcW w:w="3544" w:type="dxa"/>
            <w:tcBorders>
              <w:bottom w:val="single" w:sz="4" w:space="0" w:color="auto"/>
            </w:tcBorders>
          </w:tcPr>
          <w:p w14:paraId="7AFE5092" w14:textId="77777777" w:rsidR="00F712AA" w:rsidRDefault="00F712AA" w:rsidP="00F712AA">
            <w:pPr>
              <w:spacing w:after="0" w:line="240" w:lineRule="auto"/>
              <w:ind w:right="49"/>
            </w:pPr>
            <w:r w:rsidRPr="005C6CB6">
              <w:t xml:space="preserve">No </w:t>
            </w:r>
            <w:r>
              <w:t>Heteroscedasticity</w:t>
            </w:r>
          </w:p>
        </w:tc>
      </w:tr>
    </w:tbl>
    <w:p w14:paraId="24F35FB8" w14:textId="54A07625" w:rsidR="00F712AA" w:rsidRPr="00590503" w:rsidRDefault="00F712AA" w:rsidP="00F712AA">
      <w:pPr>
        <w:pStyle w:val="BodyText"/>
        <w:spacing w:after="0" w:line="360" w:lineRule="auto"/>
        <w:ind w:right="49"/>
        <w:rPr>
          <w:bCs/>
        </w:rPr>
      </w:pPr>
      <w:r>
        <w:rPr>
          <w:bCs/>
        </w:rPr>
        <w:t xml:space="preserve">  </w:t>
      </w:r>
      <w:r>
        <w:rPr>
          <w:bCs/>
        </w:rPr>
        <w:tab/>
      </w:r>
      <w:r>
        <w:rPr>
          <w:bCs/>
        </w:rPr>
        <w:tab/>
      </w:r>
      <w:r w:rsidRPr="001312D0">
        <w:rPr>
          <w:bCs/>
        </w:rPr>
        <w:t>Sour</w:t>
      </w:r>
      <w:r>
        <w:rPr>
          <w:bCs/>
        </w:rPr>
        <w:t>ce: Data Analysis Results, 2024</w:t>
      </w:r>
      <w:r w:rsidRPr="00590503">
        <w:rPr>
          <w:bCs/>
        </w:rPr>
        <w:t>.</w:t>
      </w:r>
    </w:p>
    <w:p w14:paraId="27ABED36" w14:textId="77777777" w:rsidR="00F712AA" w:rsidRPr="00590503" w:rsidRDefault="00F712AA" w:rsidP="00F712AA">
      <w:pPr>
        <w:pStyle w:val="BodyText"/>
        <w:spacing w:after="0" w:line="360" w:lineRule="auto"/>
        <w:ind w:right="49" w:firstLine="708"/>
        <w:rPr>
          <w:bCs/>
        </w:rPr>
      </w:pPr>
      <w:r w:rsidRPr="003F07EB">
        <w:rPr>
          <w:bCs/>
        </w:rPr>
        <w:t xml:space="preserve">The heteroscedasticity test, conducted using the </w:t>
      </w:r>
      <w:proofErr w:type="spellStart"/>
      <w:r w:rsidRPr="003F07EB">
        <w:rPr>
          <w:bCs/>
        </w:rPr>
        <w:t>Glejser</w:t>
      </w:r>
      <w:proofErr w:type="spellEnd"/>
      <w:r w:rsidRPr="003F07EB">
        <w:rPr>
          <w:bCs/>
        </w:rPr>
        <w:t xml:space="preserve"> method, revealed that the significance (sig.) values for all independent variables are greater than 0.05, indicating that the data in this study is free from heteroscedasticity</w:t>
      </w:r>
      <w:r>
        <w:rPr>
          <w:bCs/>
        </w:rPr>
        <w:t>.</w:t>
      </w:r>
    </w:p>
    <w:p w14:paraId="09B80284" w14:textId="77777777" w:rsidR="00F712AA" w:rsidRPr="00590503" w:rsidRDefault="00F712AA" w:rsidP="00F712AA">
      <w:pPr>
        <w:pStyle w:val="BodyText"/>
        <w:spacing w:after="0" w:line="360" w:lineRule="auto"/>
        <w:ind w:right="49"/>
        <w:rPr>
          <w:b/>
          <w:bCs/>
          <w:lang w:val="id-ID"/>
        </w:rPr>
      </w:pPr>
      <w:bookmarkStart w:id="50" w:name="_Toc181425371"/>
      <w:bookmarkStart w:id="51" w:name="_Toc181430843"/>
      <w:bookmarkStart w:id="52" w:name="_Toc181431687"/>
      <w:bookmarkStart w:id="53" w:name="_Toc181436375"/>
      <w:r w:rsidRPr="001312D0">
        <w:rPr>
          <w:b/>
          <w:bCs/>
          <w:lang w:val="id-ID"/>
        </w:rPr>
        <w:t>Results of Hypothesis Testing</w:t>
      </w:r>
      <w:bookmarkEnd w:id="50"/>
      <w:bookmarkEnd w:id="51"/>
      <w:bookmarkEnd w:id="52"/>
      <w:bookmarkEnd w:id="53"/>
    </w:p>
    <w:p w14:paraId="734549E2" w14:textId="77777777" w:rsidR="00F712AA" w:rsidRPr="00235034" w:rsidRDefault="00F712AA" w:rsidP="00F712AA">
      <w:pPr>
        <w:pStyle w:val="BodyText"/>
        <w:spacing w:after="0" w:line="360" w:lineRule="auto"/>
        <w:ind w:right="49"/>
        <w:rPr>
          <w:b/>
        </w:rPr>
      </w:pPr>
      <w:bookmarkStart w:id="54" w:name="_Toc181425372"/>
      <w:bookmarkStart w:id="55" w:name="_Toc181430844"/>
      <w:bookmarkStart w:id="56" w:name="_Toc181431688"/>
      <w:bookmarkStart w:id="57" w:name="_Toc181436376"/>
      <w:r w:rsidRPr="00235034">
        <w:rPr>
          <w:b/>
          <w:lang w:val="id-ID"/>
        </w:rPr>
        <w:t>Multiple Linear Regression</w:t>
      </w:r>
      <w:bookmarkEnd w:id="54"/>
      <w:bookmarkEnd w:id="55"/>
      <w:bookmarkEnd w:id="56"/>
      <w:bookmarkEnd w:id="57"/>
      <w:r w:rsidRPr="00235034">
        <w:rPr>
          <w:b/>
        </w:rPr>
        <w:t xml:space="preserve"> Result</w:t>
      </w:r>
    </w:p>
    <w:p w14:paraId="44304B54" w14:textId="1E047CA9" w:rsidR="00F712AA" w:rsidRPr="00235034" w:rsidRDefault="00F712AA" w:rsidP="00F712AA">
      <w:pPr>
        <w:pStyle w:val="BodyText"/>
        <w:spacing w:after="0" w:line="240" w:lineRule="auto"/>
        <w:ind w:right="49"/>
        <w:jc w:val="center"/>
        <w:rPr>
          <w:b/>
        </w:rPr>
      </w:pPr>
      <w:bookmarkStart w:id="58" w:name="_Toc181421869"/>
      <w:bookmarkStart w:id="59" w:name="_Toc181421945"/>
      <w:bookmarkStart w:id="60" w:name="_Toc181422585"/>
      <w:bookmarkStart w:id="61" w:name="_Toc181421830"/>
      <w:r w:rsidRPr="00235034">
        <w:rPr>
          <w:b/>
          <w:lang w:val="id-ID"/>
        </w:rPr>
        <w:t xml:space="preserve">Table </w:t>
      </w:r>
      <w:r w:rsidRPr="00235034">
        <w:rPr>
          <w:b/>
          <w:lang w:val="id-ID"/>
        </w:rPr>
        <w:fldChar w:fldCharType="begin"/>
      </w:r>
      <w:r w:rsidRPr="00235034">
        <w:rPr>
          <w:b/>
          <w:lang w:val="id-ID"/>
        </w:rPr>
        <w:instrText xml:space="preserve"> SEQ Tabel_IV. \* ARABIC </w:instrText>
      </w:r>
      <w:r w:rsidRPr="00235034">
        <w:rPr>
          <w:b/>
          <w:lang w:val="id-ID"/>
        </w:rPr>
        <w:fldChar w:fldCharType="separate"/>
      </w:r>
      <w:r w:rsidRPr="00235034">
        <w:rPr>
          <w:b/>
          <w:noProof/>
          <w:lang w:val="id-ID"/>
        </w:rPr>
        <w:t>7</w:t>
      </w:r>
      <w:bookmarkEnd w:id="58"/>
      <w:bookmarkEnd w:id="59"/>
      <w:bookmarkEnd w:id="60"/>
      <w:r w:rsidRPr="00235034">
        <w:rPr>
          <w:b/>
        </w:rPr>
        <w:fldChar w:fldCharType="end"/>
      </w:r>
      <w:bookmarkEnd w:id="61"/>
    </w:p>
    <w:p w14:paraId="0BC6A278" w14:textId="77777777" w:rsidR="00F712AA" w:rsidRPr="00235034" w:rsidRDefault="00F712AA" w:rsidP="00F712AA">
      <w:pPr>
        <w:pStyle w:val="BodyText"/>
        <w:spacing w:after="0" w:line="240" w:lineRule="auto"/>
        <w:ind w:right="49"/>
        <w:jc w:val="center"/>
        <w:rPr>
          <w:b/>
        </w:rPr>
      </w:pPr>
      <w:r w:rsidRPr="00235034">
        <w:rPr>
          <w:b/>
        </w:rPr>
        <w:t>Presents The Findings from Multiple Linear Regression Test</w:t>
      </w:r>
    </w:p>
    <w:tbl>
      <w:tblPr>
        <w:tblStyle w:val="TableGrid"/>
        <w:tblW w:w="7289" w:type="dxa"/>
        <w:jc w:val="center"/>
        <w:tblLook w:val="04A0" w:firstRow="1" w:lastRow="0" w:firstColumn="1" w:lastColumn="0" w:noHBand="0" w:noVBand="1"/>
      </w:tblPr>
      <w:tblGrid>
        <w:gridCol w:w="1337"/>
        <w:gridCol w:w="1036"/>
        <w:gridCol w:w="1227"/>
        <w:gridCol w:w="1563"/>
        <w:gridCol w:w="945"/>
        <w:gridCol w:w="1181"/>
      </w:tblGrid>
      <w:tr w:rsidR="00F712AA" w:rsidRPr="00590503" w14:paraId="1E1FAAFA" w14:textId="77777777" w:rsidTr="00EA63B4">
        <w:trPr>
          <w:jc w:val="center"/>
        </w:trPr>
        <w:tc>
          <w:tcPr>
            <w:tcW w:w="1337" w:type="dxa"/>
            <w:vMerge w:val="restart"/>
            <w:tcBorders>
              <w:top w:val="single" w:sz="4" w:space="0" w:color="auto"/>
              <w:left w:val="nil"/>
              <w:bottom w:val="nil"/>
              <w:right w:val="nil"/>
            </w:tcBorders>
          </w:tcPr>
          <w:p w14:paraId="5E539DF9" w14:textId="77777777" w:rsidR="00F712AA" w:rsidRPr="00590503" w:rsidRDefault="00F712AA" w:rsidP="00F712AA">
            <w:pPr>
              <w:pStyle w:val="TableParagraph"/>
              <w:ind w:right="49"/>
              <w:jc w:val="both"/>
              <w:rPr>
                <w:w w:val="95"/>
                <w:sz w:val="24"/>
              </w:rPr>
            </w:pPr>
          </w:p>
          <w:p w14:paraId="48E04521" w14:textId="77777777" w:rsidR="00F712AA" w:rsidRPr="00590503" w:rsidRDefault="00F712AA" w:rsidP="00F712AA">
            <w:pPr>
              <w:pStyle w:val="TableParagraph"/>
              <w:ind w:right="49"/>
              <w:jc w:val="both"/>
              <w:rPr>
                <w:w w:val="95"/>
                <w:sz w:val="24"/>
              </w:rPr>
            </w:pPr>
            <w:r>
              <w:rPr>
                <w:w w:val="95"/>
                <w:sz w:val="24"/>
              </w:rPr>
              <w:t>Variable</w:t>
            </w:r>
          </w:p>
        </w:tc>
        <w:tc>
          <w:tcPr>
            <w:tcW w:w="2263" w:type="dxa"/>
            <w:gridSpan w:val="2"/>
            <w:tcBorders>
              <w:top w:val="single" w:sz="4" w:space="0" w:color="auto"/>
              <w:left w:val="nil"/>
              <w:bottom w:val="nil"/>
              <w:right w:val="nil"/>
            </w:tcBorders>
          </w:tcPr>
          <w:p w14:paraId="5EC8DD80" w14:textId="77777777" w:rsidR="00F712AA" w:rsidRPr="00590503" w:rsidRDefault="00F712AA" w:rsidP="00F712AA">
            <w:pPr>
              <w:pStyle w:val="TableParagraph"/>
              <w:ind w:right="49"/>
              <w:jc w:val="both"/>
              <w:rPr>
                <w:w w:val="95"/>
                <w:sz w:val="24"/>
              </w:rPr>
            </w:pPr>
            <w:r w:rsidRPr="00590503">
              <w:rPr>
                <w:w w:val="95"/>
                <w:sz w:val="24"/>
              </w:rPr>
              <w:t>Unstandardized</w:t>
            </w:r>
          </w:p>
          <w:p w14:paraId="5AE66186" w14:textId="77777777" w:rsidR="00F712AA" w:rsidRPr="00590503" w:rsidRDefault="00F712AA" w:rsidP="00F712AA">
            <w:pPr>
              <w:pStyle w:val="TableParagraph"/>
              <w:ind w:right="49"/>
              <w:jc w:val="both"/>
              <w:rPr>
                <w:w w:val="95"/>
                <w:sz w:val="24"/>
              </w:rPr>
            </w:pPr>
            <w:r w:rsidRPr="00590503">
              <w:rPr>
                <w:w w:val="95"/>
                <w:sz w:val="24"/>
              </w:rPr>
              <w:t>Coefficient</w:t>
            </w:r>
          </w:p>
        </w:tc>
        <w:tc>
          <w:tcPr>
            <w:tcW w:w="1563" w:type="dxa"/>
            <w:tcBorders>
              <w:top w:val="single" w:sz="4" w:space="0" w:color="auto"/>
              <w:left w:val="nil"/>
              <w:bottom w:val="nil"/>
              <w:right w:val="nil"/>
            </w:tcBorders>
          </w:tcPr>
          <w:p w14:paraId="53382C58" w14:textId="77777777" w:rsidR="00F712AA" w:rsidRPr="00590503" w:rsidRDefault="00F712AA" w:rsidP="00F712AA">
            <w:pPr>
              <w:pStyle w:val="TableParagraph"/>
              <w:ind w:right="49"/>
              <w:jc w:val="both"/>
              <w:rPr>
                <w:w w:val="95"/>
                <w:sz w:val="24"/>
              </w:rPr>
            </w:pPr>
            <w:r w:rsidRPr="00590503">
              <w:rPr>
                <w:w w:val="95"/>
                <w:sz w:val="24"/>
              </w:rPr>
              <w:t>Standardized Coefficient</w:t>
            </w:r>
          </w:p>
        </w:tc>
        <w:tc>
          <w:tcPr>
            <w:tcW w:w="945" w:type="dxa"/>
            <w:vMerge w:val="restart"/>
            <w:tcBorders>
              <w:top w:val="single" w:sz="4" w:space="0" w:color="auto"/>
              <w:left w:val="nil"/>
              <w:bottom w:val="single" w:sz="4" w:space="0" w:color="auto"/>
              <w:right w:val="nil"/>
            </w:tcBorders>
          </w:tcPr>
          <w:p w14:paraId="2D09FD91" w14:textId="77777777" w:rsidR="00F712AA" w:rsidRPr="00590503" w:rsidRDefault="00F712AA" w:rsidP="00F712AA">
            <w:pPr>
              <w:pStyle w:val="TableParagraph"/>
              <w:ind w:right="49"/>
              <w:jc w:val="both"/>
              <w:rPr>
                <w:w w:val="95"/>
                <w:sz w:val="24"/>
              </w:rPr>
            </w:pPr>
          </w:p>
          <w:p w14:paraId="73517618" w14:textId="77777777" w:rsidR="00F712AA" w:rsidRPr="00590503" w:rsidRDefault="00F712AA" w:rsidP="00F712AA">
            <w:pPr>
              <w:pStyle w:val="TableParagraph"/>
              <w:ind w:right="49"/>
              <w:jc w:val="both"/>
              <w:rPr>
                <w:w w:val="95"/>
                <w:sz w:val="24"/>
              </w:rPr>
            </w:pPr>
            <w:r w:rsidRPr="00590503">
              <w:rPr>
                <w:w w:val="95"/>
                <w:sz w:val="24"/>
              </w:rPr>
              <w:t>t</w:t>
            </w:r>
          </w:p>
        </w:tc>
        <w:tc>
          <w:tcPr>
            <w:tcW w:w="1181" w:type="dxa"/>
            <w:vMerge w:val="restart"/>
            <w:tcBorders>
              <w:top w:val="single" w:sz="4" w:space="0" w:color="auto"/>
              <w:left w:val="nil"/>
              <w:bottom w:val="single" w:sz="4" w:space="0" w:color="auto"/>
              <w:right w:val="nil"/>
            </w:tcBorders>
          </w:tcPr>
          <w:p w14:paraId="172C6F6E" w14:textId="77777777" w:rsidR="00F712AA" w:rsidRPr="00590503" w:rsidRDefault="00F712AA" w:rsidP="00F712AA">
            <w:pPr>
              <w:pStyle w:val="TableParagraph"/>
              <w:ind w:right="49"/>
              <w:jc w:val="both"/>
              <w:rPr>
                <w:w w:val="95"/>
                <w:sz w:val="24"/>
              </w:rPr>
            </w:pPr>
          </w:p>
          <w:p w14:paraId="1EBB9A6B" w14:textId="77777777" w:rsidR="00F712AA" w:rsidRPr="00590503" w:rsidRDefault="00F712AA" w:rsidP="00F712AA">
            <w:pPr>
              <w:pStyle w:val="TableParagraph"/>
              <w:ind w:right="49"/>
              <w:jc w:val="both"/>
              <w:rPr>
                <w:w w:val="95"/>
                <w:sz w:val="24"/>
              </w:rPr>
            </w:pPr>
            <w:r w:rsidRPr="00590503">
              <w:rPr>
                <w:w w:val="95"/>
                <w:sz w:val="24"/>
              </w:rPr>
              <w:t>Sig.</w:t>
            </w:r>
          </w:p>
        </w:tc>
      </w:tr>
      <w:tr w:rsidR="00F712AA" w:rsidRPr="00590503" w14:paraId="31A25FF3" w14:textId="77777777" w:rsidTr="00EA63B4">
        <w:trPr>
          <w:jc w:val="center"/>
        </w:trPr>
        <w:tc>
          <w:tcPr>
            <w:tcW w:w="1337" w:type="dxa"/>
            <w:vMerge/>
            <w:tcBorders>
              <w:top w:val="nil"/>
              <w:left w:val="nil"/>
              <w:bottom w:val="single" w:sz="4" w:space="0" w:color="auto"/>
              <w:right w:val="nil"/>
            </w:tcBorders>
          </w:tcPr>
          <w:p w14:paraId="3FEF03D3" w14:textId="77777777" w:rsidR="00F712AA" w:rsidRPr="00590503" w:rsidRDefault="00F712AA" w:rsidP="00F712AA">
            <w:pPr>
              <w:pStyle w:val="TableParagraph"/>
              <w:ind w:right="49"/>
              <w:jc w:val="both"/>
              <w:rPr>
                <w:w w:val="95"/>
                <w:sz w:val="24"/>
              </w:rPr>
            </w:pPr>
          </w:p>
        </w:tc>
        <w:tc>
          <w:tcPr>
            <w:tcW w:w="1036" w:type="dxa"/>
            <w:tcBorders>
              <w:top w:val="nil"/>
              <w:left w:val="nil"/>
              <w:bottom w:val="single" w:sz="4" w:space="0" w:color="auto"/>
              <w:right w:val="nil"/>
            </w:tcBorders>
          </w:tcPr>
          <w:p w14:paraId="4F7288AC" w14:textId="77777777" w:rsidR="00F712AA" w:rsidRPr="00590503" w:rsidRDefault="00F712AA" w:rsidP="00F712AA">
            <w:pPr>
              <w:pStyle w:val="TableParagraph"/>
              <w:ind w:right="49"/>
              <w:jc w:val="both"/>
              <w:rPr>
                <w:w w:val="95"/>
                <w:sz w:val="24"/>
              </w:rPr>
            </w:pPr>
            <w:r w:rsidRPr="00590503">
              <w:rPr>
                <w:w w:val="95"/>
                <w:sz w:val="24"/>
              </w:rPr>
              <w:t>B</w:t>
            </w:r>
          </w:p>
        </w:tc>
        <w:tc>
          <w:tcPr>
            <w:tcW w:w="1227" w:type="dxa"/>
            <w:tcBorders>
              <w:top w:val="nil"/>
              <w:left w:val="nil"/>
              <w:bottom w:val="single" w:sz="4" w:space="0" w:color="auto"/>
              <w:right w:val="nil"/>
            </w:tcBorders>
          </w:tcPr>
          <w:p w14:paraId="77F21236" w14:textId="77777777" w:rsidR="00F712AA" w:rsidRPr="00590503" w:rsidRDefault="00F712AA" w:rsidP="00F712AA">
            <w:pPr>
              <w:pStyle w:val="TableParagraph"/>
              <w:ind w:right="49"/>
              <w:jc w:val="both"/>
              <w:rPr>
                <w:w w:val="95"/>
                <w:sz w:val="24"/>
              </w:rPr>
            </w:pPr>
            <w:r w:rsidRPr="00590503">
              <w:rPr>
                <w:w w:val="95"/>
                <w:sz w:val="24"/>
              </w:rPr>
              <w:t>Std. Error</w:t>
            </w:r>
          </w:p>
        </w:tc>
        <w:tc>
          <w:tcPr>
            <w:tcW w:w="1563" w:type="dxa"/>
            <w:tcBorders>
              <w:top w:val="nil"/>
              <w:left w:val="nil"/>
              <w:bottom w:val="single" w:sz="4" w:space="0" w:color="auto"/>
              <w:right w:val="nil"/>
            </w:tcBorders>
          </w:tcPr>
          <w:p w14:paraId="1CB198C1" w14:textId="77777777" w:rsidR="00F712AA" w:rsidRPr="00590503" w:rsidRDefault="00F712AA" w:rsidP="00F712AA">
            <w:pPr>
              <w:pStyle w:val="TableParagraph"/>
              <w:ind w:right="49"/>
              <w:jc w:val="both"/>
              <w:rPr>
                <w:w w:val="95"/>
                <w:sz w:val="24"/>
              </w:rPr>
            </w:pPr>
            <w:r w:rsidRPr="00590503">
              <w:rPr>
                <w:w w:val="95"/>
                <w:sz w:val="24"/>
              </w:rPr>
              <w:t>B</w:t>
            </w:r>
          </w:p>
        </w:tc>
        <w:tc>
          <w:tcPr>
            <w:tcW w:w="945" w:type="dxa"/>
            <w:vMerge/>
            <w:tcBorders>
              <w:top w:val="nil"/>
              <w:left w:val="nil"/>
              <w:bottom w:val="single" w:sz="4" w:space="0" w:color="auto"/>
              <w:right w:val="nil"/>
            </w:tcBorders>
          </w:tcPr>
          <w:p w14:paraId="643DF6C2" w14:textId="77777777" w:rsidR="00F712AA" w:rsidRPr="00590503" w:rsidRDefault="00F712AA" w:rsidP="00F712AA">
            <w:pPr>
              <w:pStyle w:val="TableParagraph"/>
              <w:ind w:right="49"/>
              <w:jc w:val="both"/>
              <w:rPr>
                <w:w w:val="95"/>
                <w:sz w:val="24"/>
              </w:rPr>
            </w:pPr>
          </w:p>
        </w:tc>
        <w:tc>
          <w:tcPr>
            <w:tcW w:w="1181" w:type="dxa"/>
            <w:vMerge/>
            <w:tcBorders>
              <w:top w:val="nil"/>
              <w:left w:val="nil"/>
              <w:bottom w:val="single" w:sz="4" w:space="0" w:color="auto"/>
              <w:right w:val="nil"/>
            </w:tcBorders>
          </w:tcPr>
          <w:p w14:paraId="383057BB" w14:textId="77777777" w:rsidR="00F712AA" w:rsidRPr="00590503" w:rsidRDefault="00F712AA" w:rsidP="00F712AA">
            <w:pPr>
              <w:pStyle w:val="TableParagraph"/>
              <w:ind w:right="49"/>
              <w:jc w:val="both"/>
              <w:rPr>
                <w:w w:val="95"/>
                <w:sz w:val="24"/>
              </w:rPr>
            </w:pPr>
          </w:p>
        </w:tc>
      </w:tr>
      <w:tr w:rsidR="00F712AA" w:rsidRPr="00590503" w14:paraId="313B872E" w14:textId="77777777" w:rsidTr="00EA63B4">
        <w:trPr>
          <w:jc w:val="center"/>
        </w:trPr>
        <w:tc>
          <w:tcPr>
            <w:tcW w:w="1337" w:type="dxa"/>
            <w:tcBorders>
              <w:top w:val="single" w:sz="4" w:space="0" w:color="auto"/>
              <w:left w:val="nil"/>
              <w:bottom w:val="nil"/>
              <w:right w:val="nil"/>
            </w:tcBorders>
          </w:tcPr>
          <w:p w14:paraId="3D47BDE7" w14:textId="77777777" w:rsidR="00F712AA" w:rsidRPr="00590503" w:rsidRDefault="00F712AA" w:rsidP="00F712AA">
            <w:pPr>
              <w:pStyle w:val="TableParagraph"/>
              <w:ind w:right="49"/>
              <w:jc w:val="both"/>
              <w:rPr>
                <w:w w:val="95"/>
                <w:sz w:val="24"/>
              </w:rPr>
            </w:pPr>
            <w:r w:rsidRPr="00590503">
              <w:rPr>
                <w:w w:val="95"/>
                <w:sz w:val="24"/>
              </w:rPr>
              <w:t>(Constants)</w:t>
            </w:r>
          </w:p>
        </w:tc>
        <w:tc>
          <w:tcPr>
            <w:tcW w:w="1036" w:type="dxa"/>
            <w:tcBorders>
              <w:top w:val="single" w:sz="4" w:space="0" w:color="auto"/>
              <w:left w:val="nil"/>
              <w:bottom w:val="nil"/>
              <w:right w:val="nil"/>
            </w:tcBorders>
          </w:tcPr>
          <w:p w14:paraId="044D0B7B" w14:textId="77777777" w:rsidR="00F712AA" w:rsidRPr="00590503" w:rsidRDefault="00F712AA" w:rsidP="00F712AA">
            <w:pPr>
              <w:pStyle w:val="TableParagraph"/>
              <w:ind w:right="49"/>
              <w:jc w:val="both"/>
              <w:rPr>
                <w:w w:val="95"/>
                <w:sz w:val="24"/>
              </w:rPr>
            </w:pPr>
            <w:r w:rsidRPr="00590503">
              <w:rPr>
                <w:w w:val="95"/>
                <w:sz w:val="24"/>
              </w:rPr>
              <w:t>150,723</w:t>
            </w:r>
          </w:p>
        </w:tc>
        <w:tc>
          <w:tcPr>
            <w:tcW w:w="1227" w:type="dxa"/>
            <w:tcBorders>
              <w:top w:val="single" w:sz="4" w:space="0" w:color="auto"/>
              <w:left w:val="nil"/>
              <w:bottom w:val="nil"/>
              <w:right w:val="nil"/>
            </w:tcBorders>
          </w:tcPr>
          <w:p w14:paraId="1ABE28E1" w14:textId="77777777" w:rsidR="00F712AA" w:rsidRPr="00590503" w:rsidRDefault="00F712AA" w:rsidP="00F712AA">
            <w:pPr>
              <w:pStyle w:val="TableParagraph"/>
              <w:ind w:right="49"/>
              <w:jc w:val="both"/>
              <w:rPr>
                <w:w w:val="95"/>
                <w:sz w:val="24"/>
              </w:rPr>
            </w:pPr>
            <w:r w:rsidRPr="00590503">
              <w:rPr>
                <w:w w:val="95"/>
                <w:sz w:val="24"/>
              </w:rPr>
              <w:t>20,655</w:t>
            </w:r>
          </w:p>
        </w:tc>
        <w:tc>
          <w:tcPr>
            <w:tcW w:w="1563" w:type="dxa"/>
            <w:tcBorders>
              <w:top w:val="single" w:sz="4" w:space="0" w:color="auto"/>
              <w:left w:val="nil"/>
              <w:bottom w:val="nil"/>
              <w:right w:val="nil"/>
            </w:tcBorders>
          </w:tcPr>
          <w:p w14:paraId="0C330640" w14:textId="77777777" w:rsidR="00F712AA" w:rsidRPr="00590503" w:rsidRDefault="00F712AA" w:rsidP="00F712AA">
            <w:pPr>
              <w:pStyle w:val="TableParagraph"/>
              <w:ind w:right="49"/>
              <w:jc w:val="both"/>
              <w:rPr>
                <w:w w:val="95"/>
                <w:sz w:val="24"/>
              </w:rPr>
            </w:pPr>
          </w:p>
        </w:tc>
        <w:tc>
          <w:tcPr>
            <w:tcW w:w="945" w:type="dxa"/>
            <w:tcBorders>
              <w:top w:val="single" w:sz="4" w:space="0" w:color="auto"/>
              <w:left w:val="nil"/>
              <w:bottom w:val="nil"/>
              <w:right w:val="nil"/>
            </w:tcBorders>
          </w:tcPr>
          <w:p w14:paraId="1C8375CE" w14:textId="77777777" w:rsidR="00F712AA" w:rsidRPr="00590503" w:rsidRDefault="00F712AA" w:rsidP="00F712AA">
            <w:pPr>
              <w:pStyle w:val="TableParagraph"/>
              <w:ind w:right="49"/>
              <w:jc w:val="both"/>
              <w:rPr>
                <w:w w:val="95"/>
                <w:sz w:val="24"/>
              </w:rPr>
            </w:pPr>
            <w:r w:rsidRPr="00590503">
              <w:rPr>
                <w:w w:val="95"/>
                <w:sz w:val="24"/>
              </w:rPr>
              <w:t>7,279</w:t>
            </w:r>
          </w:p>
        </w:tc>
        <w:tc>
          <w:tcPr>
            <w:tcW w:w="1181" w:type="dxa"/>
            <w:tcBorders>
              <w:top w:val="single" w:sz="4" w:space="0" w:color="auto"/>
              <w:left w:val="nil"/>
              <w:bottom w:val="nil"/>
              <w:right w:val="nil"/>
            </w:tcBorders>
          </w:tcPr>
          <w:p w14:paraId="7A4B2E48" w14:textId="77777777" w:rsidR="00F712AA" w:rsidRPr="00590503" w:rsidRDefault="00F712AA" w:rsidP="00F712AA">
            <w:pPr>
              <w:pStyle w:val="TableParagraph"/>
              <w:ind w:right="49"/>
              <w:jc w:val="both"/>
              <w:rPr>
                <w:w w:val="95"/>
                <w:sz w:val="24"/>
              </w:rPr>
            </w:pPr>
            <w:r w:rsidRPr="00590503">
              <w:rPr>
                <w:w w:val="95"/>
                <w:sz w:val="24"/>
              </w:rPr>
              <w:t>0,001</w:t>
            </w:r>
          </w:p>
        </w:tc>
      </w:tr>
      <w:tr w:rsidR="00F712AA" w:rsidRPr="00590503" w14:paraId="4F2CF122" w14:textId="77777777" w:rsidTr="00EA63B4">
        <w:trPr>
          <w:jc w:val="center"/>
        </w:trPr>
        <w:tc>
          <w:tcPr>
            <w:tcW w:w="1337" w:type="dxa"/>
            <w:tcBorders>
              <w:top w:val="nil"/>
              <w:left w:val="nil"/>
              <w:bottom w:val="nil"/>
              <w:right w:val="nil"/>
            </w:tcBorders>
          </w:tcPr>
          <w:p w14:paraId="53BDAF79" w14:textId="77777777" w:rsidR="00F712AA" w:rsidRPr="00590503" w:rsidRDefault="00F712AA" w:rsidP="00F712AA">
            <w:pPr>
              <w:pStyle w:val="TableParagraph"/>
              <w:ind w:right="49"/>
              <w:jc w:val="both"/>
              <w:rPr>
                <w:w w:val="95"/>
                <w:sz w:val="24"/>
              </w:rPr>
            </w:pPr>
            <w:r w:rsidRPr="00590503">
              <w:rPr>
                <w:w w:val="95"/>
                <w:sz w:val="24"/>
              </w:rPr>
              <w:t>KOP</w:t>
            </w:r>
          </w:p>
        </w:tc>
        <w:tc>
          <w:tcPr>
            <w:tcW w:w="1036" w:type="dxa"/>
            <w:tcBorders>
              <w:top w:val="nil"/>
              <w:left w:val="nil"/>
              <w:bottom w:val="nil"/>
              <w:right w:val="nil"/>
            </w:tcBorders>
          </w:tcPr>
          <w:p w14:paraId="2F01A4E7" w14:textId="77777777" w:rsidR="00F712AA" w:rsidRPr="00590503" w:rsidRDefault="00F712AA" w:rsidP="00F712AA">
            <w:pPr>
              <w:pStyle w:val="TableParagraph"/>
              <w:ind w:right="49"/>
              <w:jc w:val="both"/>
              <w:rPr>
                <w:w w:val="95"/>
                <w:sz w:val="24"/>
              </w:rPr>
            </w:pPr>
            <w:r w:rsidRPr="00590503">
              <w:rPr>
                <w:w w:val="95"/>
                <w:sz w:val="24"/>
              </w:rPr>
              <w:t>-42,254</w:t>
            </w:r>
          </w:p>
        </w:tc>
        <w:tc>
          <w:tcPr>
            <w:tcW w:w="1227" w:type="dxa"/>
            <w:tcBorders>
              <w:top w:val="nil"/>
              <w:left w:val="nil"/>
              <w:bottom w:val="nil"/>
              <w:right w:val="nil"/>
            </w:tcBorders>
          </w:tcPr>
          <w:p w14:paraId="6D1FF3A1" w14:textId="77777777" w:rsidR="00F712AA" w:rsidRPr="00590503" w:rsidRDefault="00F712AA" w:rsidP="00F712AA">
            <w:pPr>
              <w:pStyle w:val="TableParagraph"/>
              <w:ind w:right="49"/>
              <w:jc w:val="both"/>
              <w:rPr>
                <w:w w:val="95"/>
                <w:sz w:val="24"/>
              </w:rPr>
            </w:pPr>
            <w:r w:rsidRPr="00590503">
              <w:rPr>
                <w:w w:val="95"/>
                <w:sz w:val="24"/>
              </w:rPr>
              <w:t>20,160</w:t>
            </w:r>
          </w:p>
        </w:tc>
        <w:tc>
          <w:tcPr>
            <w:tcW w:w="1563" w:type="dxa"/>
            <w:tcBorders>
              <w:top w:val="nil"/>
              <w:left w:val="nil"/>
              <w:bottom w:val="nil"/>
              <w:right w:val="nil"/>
            </w:tcBorders>
          </w:tcPr>
          <w:p w14:paraId="7DD24CCA" w14:textId="77777777" w:rsidR="00F712AA" w:rsidRPr="00590503" w:rsidRDefault="00F712AA" w:rsidP="00F712AA">
            <w:pPr>
              <w:pStyle w:val="TableParagraph"/>
              <w:ind w:right="49"/>
              <w:jc w:val="both"/>
              <w:rPr>
                <w:w w:val="95"/>
                <w:sz w:val="24"/>
              </w:rPr>
            </w:pPr>
            <w:r w:rsidRPr="00590503">
              <w:rPr>
                <w:w w:val="95"/>
                <w:sz w:val="24"/>
              </w:rPr>
              <w:t>-0,347</w:t>
            </w:r>
          </w:p>
        </w:tc>
        <w:tc>
          <w:tcPr>
            <w:tcW w:w="945" w:type="dxa"/>
            <w:tcBorders>
              <w:top w:val="nil"/>
              <w:left w:val="nil"/>
              <w:bottom w:val="nil"/>
              <w:right w:val="nil"/>
            </w:tcBorders>
          </w:tcPr>
          <w:p w14:paraId="07D8D168" w14:textId="77777777" w:rsidR="00F712AA" w:rsidRPr="00590503" w:rsidRDefault="00F712AA" w:rsidP="00F712AA">
            <w:pPr>
              <w:pStyle w:val="TableParagraph"/>
              <w:ind w:right="49"/>
              <w:jc w:val="both"/>
              <w:rPr>
                <w:w w:val="95"/>
                <w:sz w:val="24"/>
              </w:rPr>
            </w:pPr>
            <w:r w:rsidRPr="00590503">
              <w:rPr>
                <w:w w:val="95"/>
                <w:sz w:val="24"/>
              </w:rPr>
              <w:t>-2,096</w:t>
            </w:r>
          </w:p>
        </w:tc>
        <w:tc>
          <w:tcPr>
            <w:tcW w:w="1181" w:type="dxa"/>
            <w:tcBorders>
              <w:top w:val="nil"/>
              <w:left w:val="nil"/>
              <w:bottom w:val="nil"/>
              <w:right w:val="nil"/>
            </w:tcBorders>
          </w:tcPr>
          <w:p w14:paraId="23E6252D" w14:textId="77777777" w:rsidR="00F712AA" w:rsidRPr="00590503" w:rsidRDefault="00F712AA" w:rsidP="00F712AA">
            <w:pPr>
              <w:pStyle w:val="TableParagraph"/>
              <w:ind w:right="49"/>
              <w:jc w:val="both"/>
              <w:rPr>
                <w:w w:val="95"/>
                <w:sz w:val="24"/>
              </w:rPr>
            </w:pPr>
            <w:r w:rsidRPr="00590503">
              <w:rPr>
                <w:w w:val="95"/>
                <w:sz w:val="24"/>
              </w:rPr>
              <w:t>0,045</w:t>
            </w:r>
          </w:p>
        </w:tc>
      </w:tr>
      <w:tr w:rsidR="00F712AA" w:rsidRPr="00590503" w14:paraId="67CFEA06" w14:textId="77777777" w:rsidTr="00EA63B4">
        <w:trPr>
          <w:jc w:val="center"/>
        </w:trPr>
        <w:tc>
          <w:tcPr>
            <w:tcW w:w="1337" w:type="dxa"/>
            <w:tcBorders>
              <w:top w:val="nil"/>
              <w:left w:val="nil"/>
              <w:bottom w:val="nil"/>
              <w:right w:val="nil"/>
            </w:tcBorders>
          </w:tcPr>
          <w:p w14:paraId="0A2B91A0" w14:textId="77777777" w:rsidR="00F712AA" w:rsidRPr="00590503" w:rsidRDefault="00F712AA" w:rsidP="00F712AA">
            <w:pPr>
              <w:pStyle w:val="TableParagraph"/>
              <w:ind w:right="49"/>
              <w:jc w:val="both"/>
              <w:rPr>
                <w:w w:val="95"/>
                <w:sz w:val="24"/>
              </w:rPr>
            </w:pPr>
            <w:r w:rsidRPr="00590503">
              <w:rPr>
                <w:w w:val="95"/>
                <w:sz w:val="24"/>
              </w:rPr>
              <w:t>ROA</w:t>
            </w:r>
          </w:p>
        </w:tc>
        <w:tc>
          <w:tcPr>
            <w:tcW w:w="1036" w:type="dxa"/>
            <w:tcBorders>
              <w:top w:val="nil"/>
              <w:left w:val="nil"/>
              <w:bottom w:val="nil"/>
              <w:right w:val="nil"/>
            </w:tcBorders>
          </w:tcPr>
          <w:p w14:paraId="447E6CA9" w14:textId="77777777" w:rsidR="00F712AA" w:rsidRPr="00590503" w:rsidRDefault="00F712AA" w:rsidP="00F712AA">
            <w:pPr>
              <w:pStyle w:val="TableParagraph"/>
              <w:ind w:right="49"/>
              <w:jc w:val="both"/>
              <w:rPr>
                <w:w w:val="95"/>
                <w:sz w:val="24"/>
              </w:rPr>
            </w:pPr>
            <w:r w:rsidRPr="00590503">
              <w:rPr>
                <w:w w:val="95"/>
                <w:sz w:val="24"/>
              </w:rPr>
              <w:t>-181,743</w:t>
            </w:r>
          </w:p>
        </w:tc>
        <w:tc>
          <w:tcPr>
            <w:tcW w:w="1227" w:type="dxa"/>
            <w:tcBorders>
              <w:top w:val="nil"/>
              <w:left w:val="nil"/>
              <w:bottom w:val="nil"/>
              <w:right w:val="nil"/>
            </w:tcBorders>
          </w:tcPr>
          <w:p w14:paraId="411B5873" w14:textId="77777777" w:rsidR="00F712AA" w:rsidRPr="00590503" w:rsidRDefault="00F712AA" w:rsidP="00F712AA">
            <w:pPr>
              <w:pStyle w:val="TableParagraph"/>
              <w:ind w:right="49"/>
              <w:jc w:val="both"/>
              <w:rPr>
                <w:w w:val="95"/>
                <w:sz w:val="24"/>
              </w:rPr>
            </w:pPr>
            <w:r w:rsidRPr="00590503">
              <w:rPr>
                <w:w w:val="95"/>
                <w:sz w:val="24"/>
              </w:rPr>
              <w:t>102,071</w:t>
            </w:r>
          </w:p>
        </w:tc>
        <w:tc>
          <w:tcPr>
            <w:tcW w:w="1563" w:type="dxa"/>
            <w:tcBorders>
              <w:top w:val="nil"/>
              <w:left w:val="nil"/>
              <w:bottom w:val="nil"/>
              <w:right w:val="nil"/>
            </w:tcBorders>
          </w:tcPr>
          <w:p w14:paraId="511D1170" w14:textId="77777777" w:rsidR="00F712AA" w:rsidRPr="00590503" w:rsidRDefault="00F712AA" w:rsidP="00F712AA">
            <w:pPr>
              <w:pStyle w:val="TableParagraph"/>
              <w:ind w:right="49"/>
              <w:jc w:val="both"/>
              <w:rPr>
                <w:w w:val="95"/>
                <w:sz w:val="24"/>
              </w:rPr>
            </w:pPr>
            <w:r w:rsidRPr="00590503">
              <w:rPr>
                <w:w w:val="95"/>
                <w:sz w:val="24"/>
              </w:rPr>
              <w:t>-0,346</w:t>
            </w:r>
          </w:p>
        </w:tc>
        <w:tc>
          <w:tcPr>
            <w:tcW w:w="945" w:type="dxa"/>
            <w:tcBorders>
              <w:top w:val="nil"/>
              <w:left w:val="nil"/>
              <w:bottom w:val="nil"/>
              <w:right w:val="nil"/>
            </w:tcBorders>
          </w:tcPr>
          <w:p w14:paraId="6332D179" w14:textId="77777777" w:rsidR="00F712AA" w:rsidRPr="00590503" w:rsidRDefault="00F712AA" w:rsidP="00F712AA">
            <w:pPr>
              <w:pStyle w:val="TableParagraph"/>
              <w:ind w:right="49"/>
              <w:jc w:val="both"/>
              <w:rPr>
                <w:w w:val="95"/>
                <w:sz w:val="24"/>
              </w:rPr>
            </w:pPr>
            <w:r w:rsidRPr="00590503">
              <w:rPr>
                <w:w w:val="95"/>
                <w:sz w:val="24"/>
              </w:rPr>
              <w:t>-1,771</w:t>
            </w:r>
          </w:p>
        </w:tc>
        <w:tc>
          <w:tcPr>
            <w:tcW w:w="1181" w:type="dxa"/>
            <w:tcBorders>
              <w:top w:val="nil"/>
              <w:left w:val="nil"/>
              <w:bottom w:val="nil"/>
              <w:right w:val="nil"/>
            </w:tcBorders>
          </w:tcPr>
          <w:p w14:paraId="2F9AFC5B" w14:textId="77777777" w:rsidR="00F712AA" w:rsidRPr="00590503" w:rsidRDefault="00F712AA" w:rsidP="00F712AA">
            <w:pPr>
              <w:pStyle w:val="TableParagraph"/>
              <w:ind w:right="49"/>
              <w:jc w:val="both"/>
              <w:rPr>
                <w:w w:val="95"/>
                <w:sz w:val="24"/>
              </w:rPr>
            </w:pPr>
            <w:r w:rsidRPr="00590503">
              <w:rPr>
                <w:w w:val="95"/>
                <w:sz w:val="24"/>
              </w:rPr>
              <w:t>0,087</w:t>
            </w:r>
          </w:p>
        </w:tc>
      </w:tr>
      <w:tr w:rsidR="00F712AA" w:rsidRPr="00590503" w14:paraId="0C8595F5" w14:textId="77777777" w:rsidTr="00EA63B4">
        <w:trPr>
          <w:jc w:val="center"/>
        </w:trPr>
        <w:tc>
          <w:tcPr>
            <w:tcW w:w="1337" w:type="dxa"/>
            <w:tcBorders>
              <w:top w:val="nil"/>
              <w:left w:val="nil"/>
              <w:bottom w:val="nil"/>
              <w:right w:val="nil"/>
            </w:tcBorders>
          </w:tcPr>
          <w:p w14:paraId="2E51E683" w14:textId="77777777" w:rsidR="00F712AA" w:rsidRPr="00590503" w:rsidRDefault="00F712AA" w:rsidP="00F712AA">
            <w:pPr>
              <w:pStyle w:val="TableParagraph"/>
              <w:ind w:right="49"/>
              <w:jc w:val="both"/>
              <w:rPr>
                <w:w w:val="95"/>
                <w:sz w:val="24"/>
              </w:rPr>
            </w:pPr>
            <w:r w:rsidRPr="00590503">
              <w:rPr>
                <w:w w:val="95"/>
                <w:sz w:val="24"/>
              </w:rPr>
              <w:t>DER</w:t>
            </w:r>
          </w:p>
        </w:tc>
        <w:tc>
          <w:tcPr>
            <w:tcW w:w="1036" w:type="dxa"/>
            <w:tcBorders>
              <w:top w:val="nil"/>
              <w:left w:val="nil"/>
              <w:bottom w:val="nil"/>
              <w:right w:val="nil"/>
            </w:tcBorders>
          </w:tcPr>
          <w:p w14:paraId="1704EC82" w14:textId="77777777" w:rsidR="00F712AA" w:rsidRPr="00590503" w:rsidRDefault="00F712AA" w:rsidP="00F712AA">
            <w:pPr>
              <w:pStyle w:val="TableParagraph"/>
              <w:ind w:right="49"/>
              <w:jc w:val="both"/>
              <w:rPr>
                <w:w w:val="95"/>
                <w:sz w:val="24"/>
              </w:rPr>
            </w:pPr>
            <w:r w:rsidRPr="00590503">
              <w:rPr>
                <w:w w:val="95"/>
                <w:sz w:val="24"/>
              </w:rPr>
              <w:t>0,706</w:t>
            </w:r>
          </w:p>
        </w:tc>
        <w:tc>
          <w:tcPr>
            <w:tcW w:w="1227" w:type="dxa"/>
            <w:tcBorders>
              <w:top w:val="nil"/>
              <w:left w:val="nil"/>
              <w:bottom w:val="nil"/>
              <w:right w:val="nil"/>
            </w:tcBorders>
          </w:tcPr>
          <w:p w14:paraId="32F2048E" w14:textId="77777777" w:rsidR="00F712AA" w:rsidRPr="00590503" w:rsidRDefault="00F712AA" w:rsidP="00F712AA">
            <w:pPr>
              <w:pStyle w:val="TableParagraph"/>
              <w:ind w:right="49"/>
              <w:jc w:val="both"/>
              <w:rPr>
                <w:w w:val="95"/>
                <w:sz w:val="24"/>
              </w:rPr>
            </w:pPr>
            <w:r w:rsidRPr="00590503">
              <w:rPr>
                <w:w w:val="95"/>
                <w:sz w:val="24"/>
              </w:rPr>
              <w:t>0,940</w:t>
            </w:r>
          </w:p>
        </w:tc>
        <w:tc>
          <w:tcPr>
            <w:tcW w:w="1563" w:type="dxa"/>
            <w:tcBorders>
              <w:top w:val="nil"/>
              <w:left w:val="nil"/>
              <w:bottom w:val="nil"/>
              <w:right w:val="nil"/>
            </w:tcBorders>
          </w:tcPr>
          <w:p w14:paraId="09A58073" w14:textId="77777777" w:rsidR="00F712AA" w:rsidRPr="00590503" w:rsidRDefault="00F712AA" w:rsidP="00F712AA">
            <w:pPr>
              <w:pStyle w:val="TableParagraph"/>
              <w:ind w:right="49"/>
              <w:jc w:val="both"/>
              <w:rPr>
                <w:w w:val="95"/>
                <w:sz w:val="24"/>
              </w:rPr>
            </w:pPr>
            <w:r w:rsidRPr="00590503">
              <w:rPr>
                <w:w w:val="95"/>
                <w:sz w:val="24"/>
              </w:rPr>
              <w:t>0,194</w:t>
            </w:r>
          </w:p>
        </w:tc>
        <w:tc>
          <w:tcPr>
            <w:tcW w:w="945" w:type="dxa"/>
            <w:tcBorders>
              <w:top w:val="nil"/>
              <w:left w:val="nil"/>
              <w:bottom w:val="nil"/>
              <w:right w:val="nil"/>
            </w:tcBorders>
          </w:tcPr>
          <w:p w14:paraId="2D3D6C7B" w14:textId="77777777" w:rsidR="00F712AA" w:rsidRPr="00590503" w:rsidRDefault="00F712AA" w:rsidP="00F712AA">
            <w:pPr>
              <w:pStyle w:val="TableParagraph"/>
              <w:ind w:right="49"/>
              <w:jc w:val="both"/>
              <w:rPr>
                <w:w w:val="95"/>
                <w:sz w:val="24"/>
              </w:rPr>
            </w:pPr>
            <w:r w:rsidRPr="00590503">
              <w:rPr>
                <w:w w:val="95"/>
                <w:sz w:val="24"/>
              </w:rPr>
              <w:t>0,751</w:t>
            </w:r>
          </w:p>
        </w:tc>
        <w:tc>
          <w:tcPr>
            <w:tcW w:w="1181" w:type="dxa"/>
            <w:tcBorders>
              <w:top w:val="nil"/>
              <w:left w:val="nil"/>
              <w:bottom w:val="nil"/>
              <w:right w:val="nil"/>
            </w:tcBorders>
          </w:tcPr>
          <w:p w14:paraId="28778712" w14:textId="77777777" w:rsidR="00F712AA" w:rsidRPr="00590503" w:rsidRDefault="00F712AA" w:rsidP="00F712AA">
            <w:pPr>
              <w:pStyle w:val="TableParagraph"/>
              <w:ind w:right="49"/>
              <w:jc w:val="both"/>
              <w:rPr>
                <w:w w:val="95"/>
                <w:sz w:val="24"/>
              </w:rPr>
            </w:pPr>
            <w:r w:rsidRPr="00590503">
              <w:rPr>
                <w:w w:val="95"/>
                <w:sz w:val="24"/>
              </w:rPr>
              <w:t>0,459</w:t>
            </w:r>
          </w:p>
        </w:tc>
      </w:tr>
      <w:tr w:rsidR="00F712AA" w:rsidRPr="00590503" w14:paraId="5280B0C4" w14:textId="77777777" w:rsidTr="00EA63B4">
        <w:trPr>
          <w:jc w:val="center"/>
        </w:trPr>
        <w:tc>
          <w:tcPr>
            <w:tcW w:w="1337" w:type="dxa"/>
            <w:tcBorders>
              <w:top w:val="nil"/>
              <w:left w:val="nil"/>
              <w:bottom w:val="nil"/>
              <w:right w:val="nil"/>
            </w:tcBorders>
          </w:tcPr>
          <w:p w14:paraId="7BD6985D" w14:textId="77777777" w:rsidR="00F712AA" w:rsidRPr="00590503" w:rsidRDefault="00F712AA" w:rsidP="00F712AA">
            <w:pPr>
              <w:pStyle w:val="TableParagraph"/>
              <w:ind w:right="49"/>
              <w:jc w:val="both"/>
              <w:rPr>
                <w:w w:val="95"/>
                <w:sz w:val="24"/>
              </w:rPr>
            </w:pPr>
            <w:r w:rsidRPr="00590503">
              <w:rPr>
                <w:w w:val="95"/>
                <w:sz w:val="24"/>
              </w:rPr>
              <w:t>AT</w:t>
            </w:r>
          </w:p>
        </w:tc>
        <w:tc>
          <w:tcPr>
            <w:tcW w:w="1036" w:type="dxa"/>
            <w:tcBorders>
              <w:top w:val="nil"/>
              <w:left w:val="nil"/>
              <w:bottom w:val="nil"/>
              <w:right w:val="nil"/>
            </w:tcBorders>
          </w:tcPr>
          <w:p w14:paraId="72A0291C" w14:textId="77777777" w:rsidR="00F712AA" w:rsidRPr="00590503" w:rsidRDefault="00F712AA" w:rsidP="00F712AA">
            <w:pPr>
              <w:pStyle w:val="TableParagraph"/>
              <w:ind w:right="49"/>
              <w:jc w:val="both"/>
              <w:rPr>
                <w:w w:val="95"/>
                <w:sz w:val="24"/>
              </w:rPr>
            </w:pPr>
            <w:r w:rsidRPr="00590503">
              <w:rPr>
                <w:w w:val="95"/>
                <w:sz w:val="24"/>
              </w:rPr>
              <w:t>-1,500</w:t>
            </w:r>
          </w:p>
        </w:tc>
        <w:tc>
          <w:tcPr>
            <w:tcW w:w="1227" w:type="dxa"/>
            <w:tcBorders>
              <w:top w:val="nil"/>
              <w:left w:val="nil"/>
              <w:bottom w:val="nil"/>
              <w:right w:val="nil"/>
            </w:tcBorders>
          </w:tcPr>
          <w:p w14:paraId="055604CC" w14:textId="77777777" w:rsidR="00F712AA" w:rsidRPr="00590503" w:rsidRDefault="00F712AA" w:rsidP="00F712AA">
            <w:pPr>
              <w:pStyle w:val="TableParagraph"/>
              <w:ind w:right="49"/>
              <w:jc w:val="both"/>
              <w:rPr>
                <w:w w:val="95"/>
                <w:sz w:val="24"/>
              </w:rPr>
            </w:pPr>
            <w:r w:rsidRPr="00590503">
              <w:rPr>
                <w:w w:val="95"/>
                <w:sz w:val="24"/>
              </w:rPr>
              <w:t>7,629</w:t>
            </w:r>
          </w:p>
        </w:tc>
        <w:tc>
          <w:tcPr>
            <w:tcW w:w="1563" w:type="dxa"/>
            <w:tcBorders>
              <w:top w:val="nil"/>
              <w:left w:val="nil"/>
              <w:bottom w:val="nil"/>
              <w:right w:val="nil"/>
            </w:tcBorders>
          </w:tcPr>
          <w:p w14:paraId="5002AFB2" w14:textId="77777777" w:rsidR="00F712AA" w:rsidRPr="00590503" w:rsidRDefault="00F712AA" w:rsidP="00F712AA">
            <w:pPr>
              <w:pStyle w:val="TableParagraph"/>
              <w:ind w:right="49"/>
              <w:jc w:val="both"/>
              <w:rPr>
                <w:w w:val="95"/>
                <w:sz w:val="24"/>
              </w:rPr>
            </w:pPr>
            <w:r w:rsidRPr="00590503">
              <w:rPr>
                <w:w w:val="95"/>
                <w:sz w:val="24"/>
              </w:rPr>
              <w:t>-0,035</w:t>
            </w:r>
          </w:p>
        </w:tc>
        <w:tc>
          <w:tcPr>
            <w:tcW w:w="945" w:type="dxa"/>
            <w:tcBorders>
              <w:top w:val="nil"/>
              <w:left w:val="nil"/>
              <w:bottom w:val="nil"/>
              <w:right w:val="nil"/>
            </w:tcBorders>
          </w:tcPr>
          <w:p w14:paraId="121B123D" w14:textId="77777777" w:rsidR="00F712AA" w:rsidRPr="00590503" w:rsidRDefault="00F712AA" w:rsidP="00F712AA">
            <w:pPr>
              <w:pStyle w:val="TableParagraph"/>
              <w:ind w:right="49"/>
              <w:jc w:val="both"/>
              <w:rPr>
                <w:w w:val="95"/>
                <w:sz w:val="24"/>
              </w:rPr>
            </w:pPr>
            <w:r w:rsidRPr="00590503">
              <w:rPr>
                <w:w w:val="95"/>
                <w:sz w:val="24"/>
              </w:rPr>
              <w:t>-0,197</w:t>
            </w:r>
          </w:p>
        </w:tc>
        <w:tc>
          <w:tcPr>
            <w:tcW w:w="1181" w:type="dxa"/>
            <w:tcBorders>
              <w:top w:val="nil"/>
              <w:left w:val="nil"/>
              <w:bottom w:val="nil"/>
              <w:right w:val="nil"/>
            </w:tcBorders>
          </w:tcPr>
          <w:p w14:paraId="33976815" w14:textId="77777777" w:rsidR="00F712AA" w:rsidRPr="00590503" w:rsidRDefault="00F712AA" w:rsidP="00F712AA">
            <w:pPr>
              <w:pStyle w:val="TableParagraph"/>
              <w:ind w:right="49"/>
              <w:jc w:val="both"/>
              <w:rPr>
                <w:w w:val="95"/>
                <w:sz w:val="24"/>
              </w:rPr>
            </w:pPr>
            <w:r w:rsidRPr="00590503">
              <w:rPr>
                <w:w w:val="95"/>
                <w:sz w:val="24"/>
              </w:rPr>
              <w:t>0,845</w:t>
            </w:r>
          </w:p>
        </w:tc>
      </w:tr>
      <w:tr w:rsidR="00F712AA" w:rsidRPr="00590503" w14:paraId="7880E68C" w14:textId="77777777" w:rsidTr="00EA63B4">
        <w:trPr>
          <w:jc w:val="center"/>
        </w:trPr>
        <w:tc>
          <w:tcPr>
            <w:tcW w:w="1337" w:type="dxa"/>
            <w:tcBorders>
              <w:top w:val="nil"/>
              <w:left w:val="nil"/>
              <w:bottom w:val="single" w:sz="4" w:space="0" w:color="auto"/>
              <w:right w:val="nil"/>
            </w:tcBorders>
          </w:tcPr>
          <w:p w14:paraId="2E0A1F74" w14:textId="77777777" w:rsidR="00F712AA" w:rsidRPr="00590503" w:rsidRDefault="00F712AA" w:rsidP="00F712AA">
            <w:pPr>
              <w:pStyle w:val="TableParagraph"/>
              <w:ind w:right="49"/>
              <w:jc w:val="both"/>
              <w:rPr>
                <w:w w:val="95"/>
                <w:sz w:val="24"/>
              </w:rPr>
            </w:pPr>
            <w:r w:rsidRPr="00590503">
              <w:rPr>
                <w:w w:val="95"/>
                <w:sz w:val="24"/>
              </w:rPr>
              <w:t>FD</w:t>
            </w:r>
          </w:p>
        </w:tc>
        <w:tc>
          <w:tcPr>
            <w:tcW w:w="1036" w:type="dxa"/>
            <w:tcBorders>
              <w:top w:val="nil"/>
              <w:left w:val="nil"/>
              <w:bottom w:val="single" w:sz="4" w:space="0" w:color="auto"/>
              <w:right w:val="nil"/>
            </w:tcBorders>
          </w:tcPr>
          <w:p w14:paraId="55656D38" w14:textId="77777777" w:rsidR="00F712AA" w:rsidRPr="00590503" w:rsidRDefault="00F712AA" w:rsidP="00F712AA">
            <w:pPr>
              <w:pStyle w:val="TableParagraph"/>
              <w:ind w:right="49"/>
              <w:jc w:val="both"/>
              <w:rPr>
                <w:w w:val="95"/>
                <w:sz w:val="24"/>
              </w:rPr>
            </w:pPr>
            <w:r w:rsidRPr="00590503">
              <w:rPr>
                <w:w w:val="95"/>
                <w:sz w:val="24"/>
              </w:rPr>
              <w:t>-0,570</w:t>
            </w:r>
          </w:p>
        </w:tc>
        <w:tc>
          <w:tcPr>
            <w:tcW w:w="1227" w:type="dxa"/>
            <w:tcBorders>
              <w:top w:val="nil"/>
              <w:left w:val="nil"/>
              <w:bottom w:val="single" w:sz="4" w:space="0" w:color="auto"/>
              <w:right w:val="nil"/>
            </w:tcBorders>
          </w:tcPr>
          <w:p w14:paraId="2F1BF382" w14:textId="77777777" w:rsidR="00F712AA" w:rsidRPr="00590503" w:rsidRDefault="00F712AA" w:rsidP="00F712AA">
            <w:pPr>
              <w:pStyle w:val="TableParagraph"/>
              <w:ind w:right="49"/>
              <w:jc w:val="both"/>
              <w:rPr>
                <w:w w:val="95"/>
                <w:sz w:val="24"/>
              </w:rPr>
            </w:pPr>
            <w:r w:rsidRPr="00590503">
              <w:rPr>
                <w:w w:val="95"/>
                <w:sz w:val="24"/>
              </w:rPr>
              <w:t>4,866</w:t>
            </w:r>
          </w:p>
        </w:tc>
        <w:tc>
          <w:tcPr>
            <w:tcW w:w="1563" w:type="dxa"/>
            <w:tcBorders>
              <w:top w:val="nil"/>
              <w:left w:val="nil"/>
              <w:bottom w:val="single" w:sz="4" w:space="0" w:color="auto"/>
              <w:right w:val="nil"/>
            </w:tcBorders>
          </w:tcPr>
          <w:p w14:paraId="5E5986DC" w14:textId="77777777" w:rsidR="00F712AA" w:rsidRPr="00590503" w:rsidRDefault="00F712AA" w:rsidP="00F712AA">
            <w:pPr>
              <w:pStyle w:val="TableParagraph"/>
              <w:ind w:right="49"/>
              <w:jc w:val="both"/>
              <w:rPr>
                <w:w w:val="95"/>
                <w:sz w:val="24"/>
              </w:rPr>
            </w:pPr>
            <w:r w:rsidRPr="00590503">
              <w:rPr>
                <w:w w:val="95"/>
                <w:sz w:val="24"/>
              </w:rPr>
              <w:t>-0,034</w:t>
            </w:r>
          </w:p>
        </w:tc>
        <w:tc>
          <w:tcPr>
            <w:tcW w:w="945" w:type="dxa"/>
            <w:tcBorders>
              <w:top w:val="nil"/>
              <w:left w:val="nil"/>
              <w:bottom w:val="single" w:sz="4" w:space="0" w:color="auto"/>
              <w:right w:val="nil"/>
            </w:tcBorders>
          </w:tcPr>
          <w:p w14:paraId="2B978E73" w14:textId="77777777" w:rsidR="00F712AA" w:rsidRPr="00590503" w:rsidRDefault="00F712AA" w:rsidP="00F712AA">
            <w:pPr>
              <w:pStyle w:val="TableParagraph"/>
              <w:ind w:right="49"/>
              <w:jc w:val="both"/>
              <w:rPr>
                <w:w w:val="95"/>
                <w:sz w:val="24"/>
              </w:rPr>
            </w:pPr>
            <w:r w:rsidRPr="00590503">
              <w:rPr>
                <w:w w:val="95"/>
                <w:sz w:val="24"/>
              </w:rPr>
              <w:t>-0,117</w:t>
            </w:r>
          </w:p>
        </w:tc>
        <w:tc>
          <w:tcPr>
            <w:tcW w:w="1181" w:type="dxa"/>
            <w:tcBorders>
              <w:top w:val="nil"/>
              <w:left w:val="nil"/>
              <w:bottom w:val="single" w:sz="4" w:space="0" w:color="auto"/>
              <w:right w:val="nil"/>
            </w:tcBorders>
          </w:tcPr>
          <w:p w14:paraId="70409429" w14:textId="77777777" w:rsidR="00F712AA" w:rsidRPr="00590503" w:rsidRDefault="00F712AA" w:rsidP="00F712AA">
            <w:pPr>
              <w:pStyle w:val="TableParagraph"/>
              <w:ind w:right="49"/>
              <w:jc w:val="both"/>
              <w:rPr>
                <w:w w:val="95"/>
                <w:sz w:val="24"/>
              </w:rPr>
            </w:pPr>
            <w:r w:rsidRPr="00590503">
              <w:rPr>
                <w:w w:val="95"/>
                <w:sz w:val="24"/>
              </w:rPr>
              <w:t>0,908</w:t>
            </w:r>
          </w:p>
        </w:tc>
      </w:tr>
    </w:tbl>
    <w:p w14:paraId="04197A3B" w14:textId="33537BB6" w:rsidR="00F712AA" w:rsidRDefault="00F712AA" w:rsidP="00F712AA">
      <w:pPr>
        <w:pStyle w:val="BodyText"/>
        <w:spacing w:after="0" w:line="240" w:lineRule="auto"/>
        <w:ind w:right="49"/>
        <w:rPr>
          <w:bCs/>
        </w:rPr>
      </w:pPr>
      <w:r>
        <w:rPr>
          <w:bCs/>
        </w:rPr>
        <w:t xml:space="preserve">       </w:t>
      </w:r>
      <w:r w:rsidRPr="00EE5286">
        <w:rPr>
          <w:bCs/>
        </w:rPr>
        <w:t>Sour</w:t>
      </w:r>
      <w:r>
        <w:rPr>
          <w:bCs/>
        </w:rPr>
        <w:t>ce: Data Analysis Results, 2024</w:t>
      </w:r>
    </w:p>
    <w:p w14:paraId="24BDCFB5" w14:textId="77777777" w:rsidR="00F712AA" w:rsidRPr="00590503" w:rsidRDefault="00F712AA" w:rsidP="00F712AA">
      <w:pPr>
        <w:pStyle w:val="BodyText"/>
        <w:spacing w:after="0" w:line="240" w:lineRule="auto"/>
        <w:ind w:right="49"/>
        <w:rPr>
          <w:bCs/>
        </w:rPr>
      </w:pPr>
    </w:p>
    <w:p w14:paraId="6072D62A" w14:textId="77777777" w:rsidR="00F712AA" w:rsidRPr="00590503" w:rsidRDefault="00F712AA" w:rsidP="00F712AA">
      <w:pPr>
        <w:pStyle w:val="BodyText"/>
        <w:spacing w:after="0" w:line="360" w:lineRule="auto"/>
        <w:ind w:right="49" w:firstLine="708"/>
        <w:rPr>
          <w:bCs/>
        </w:rPr>
      </w:pPr>
      <w:r w:rsidRPr="00A65294">
        <w:rPr>
          <w:bCs/>
        </w:rPr>
        <w:t>The findings of the multiple linear regression can be encapsulated in the subsequent regression equation, as illustrated in Table 7.</w:t>
      </w:r>
    </w:p>
    <w:p w14:paraId="308EF3F5" w14:textId="77777777" w:rsidR="00F712AA" w:rsidRPr="00590503" w:rsidRDefault="00F712AA" w:rsidP="00F712AA">
      <w:pPr>
        <w:pStyle w:val="BodyText"/>
        <w:spacing w:after="0" w:line="360" w:lineRule="auto"/>
        <w:ind w:right="49" w:firstLine="708"/>
        <w:rPr>
          <w:bCs/>
        </w:rPr>
      </w:pPr>
      <w:r w:rsidRPr="00590503">
        <w:rPr>
          <w:bCs/>
        </w:rPr>
        <w:t xml:space="preserve">AD = 150,723 </w:t>
      </w:r>
      <w:r w:rsidRPr="00590503">
        <w:rPr>
          <w:bCs/>
          <w:lang w:val="id-ID"/>
        </w:rPr>
        <w:t>–</w:t>
      </w:r>
      <w:r w:rsidRPr="00590503">
        <w:rPr>
          <w:bCs/>
        </w:rPr>
        <w:t xml:space="preserve"> 42,254KOP </w:t>
      </w:r>
      <w:r w:rsidRPr="00590503">
        <w:rPr>
          <w:bCs/>
          <w:lang w:val="id-ID"/>
        </w:rPr>
        <w:t>–</w:t>
      </w:r>
      <w:r w:rsidRPr="00590503">
        <w:rPr>
          <w:bCs/>
        </w:rPr>
        <w:t xml:space="preserve"> 181,743ROA + 0,706DER </w:t>
      </w:r>
      <w:r w:rsidRPr="00590503">
        <w:rPr>
          <w:bCs/>
          <w:lang w:val="id-ID"/>
        </w:rPr>
        <w:t>–</w:t>
      </w:r>
      <w:r w:rsidRPr="00590503">
        <w:rPr>
          <w:bCs/>
        </w:rPr>
        <w:t xml:space="preserve"> 1,500AT </w:t>
      </w:r>
      <w:r w:rsidRPr="00590503">
        <w:rPr>
          <w:bCs/>
          <w:lang w:val="id-ID"/>
        </w:rPr>
        <w:t>–</w:t>
      </w:r>
      <w:r w:rsidRPr="00590503">
        <w:rPr>
          <w:bCs/>
        </w:rPr>
        <w:t xml:space="preserve"> 0,570FD</w:t>
      </w:r>
    </w:p>
    <w:p w14:paraId="7731CAA7" w14:textId="77777777" w:rsidR="00F712AA" w:rsidRPr="00590503" w:rsidRDefault="00F712AA" w:rsidP="00F712AA">
      <w:pPr>
        <w:pStyle w:val="BodyText"/>
        <w:spacing w:after="0" w:line="360" w:lineRule="auto"/>
        <w:ind w:right="49" w:firstLine="708"/>
        <w:rPr>
          <w:bCs/>
        </w:rPr>
      </w:pPr>
      <w:r w:rsidRPr="00EE5286">
        <w:rPr>
          <w:bCs/>
        </w:rPr>
        <w:t>The regression coefficients can be interpreted as follows</w:t>
      </w:r>
      <w:r w:rsidRPr="00590503">
        <w:rPr>
          <w:bCs/>
        </w:rPr>
        <w:t>:</w:t>
      </w:r>
    </w:p>
    <w:p w14:paraId="4C3861E7" w14:textId="77777777" w:rsidR="00F712AA" w:rsidRPr="00235034" w:rsidRDefault="00F712AA" w:rsidP="00F712AA">
      <w:pPr>
        <w:pStyle w:val="BodyText"/>
        <w:spacing w:after="0" w:line="360" w:lineRule="auto"/>
        <w:ind w:right="49" w:firstLine="560"/>
        <w:rPr>
          <w:bCs/>
        </w:rPr>
      </w:pPr>
      <w:r w:rsidRPr="00235034">
        <w:rPr>
          <w:bCs/>
        </w:rPr>
        <w:t>(Constants)</w:t>
      </w:r>
    </w:p>
    <w:p w14:paraId="2A10B0DD" w14:textId="77777777" w:rsidR="00F712AA" w:rsidRPr="00590503" w:rsidRDefault="00F712AA" w:rsidP="00F712AA">
      <w:pPr>
        <w:pStyle w:val="BodyText"/>
        <w:spacing w:after="0" w:line="360" w:lineRule="auto"/>
        <w:ind w:right="49" w:firstLine="708"/>
        <w:rPr>
          <w:bCs/>
        </w:rPr>
      </w:pPr>
      <w:r w:rsidRPr="00EE5286">
        <w:rPr>
          <w:bCs/>
        </w:rPr>
        <w:t>Constants: The constant value of 150.723 indicates that if all independent variables in this model are assumed to be constant, the average audit delay is predicted to be at the level of 150.723. This result reflects the baseline condition of audit delay while considering the influence</w:t>
      </w:r>
      <w:r>
        <w:rPr>
          <w:bCs/>
        </w:rPr>
        <w:t xml:space="preserve"> of other independent variables</w:t>
      </w:r>
      <w:r w:rsidRPr="00590503">
        <w:rPr>
          <w:bCs/>
        </w:rPr>
        <w:t>.</w:t>
      </w:r>
    </w:p>
    <w:p w14:paraId="5D5DCEDF" w14:textId="77777777" w:rsidR="00F712AA" w:rsidRPr="00235034" w:rsidRDefault="00F712AA" w:rsidP="00F712AA">
      <w:pPr>
        <w:pStyle w:val="BodyText"/>
        <w:spacing w:after="0" w:line="360" w:lineRule="auto"/>
        <w:ind w:right="49"/>
        <w:rPr>
          <w:b/>
        </w:rPr>
      </w:pPr>
      <w:r w:rsidRPr="00235034">
        <w:rPr>
          <w:b/>
        </w:rPr>
        <w:t>Complexity of Corporate Operations</w:t>
      </w:r>
    </w:p>
    <w:p w14:paraId="72D630E0" w14:textId="77777777" w:rsidR="00F712AA" w:rsidRPr="00EE5286" w:rsidRDefault="00F712AA" w:rsidP="00F712AA">
      <w:pPr>
        <w:pStyle w:val="BodyText"/>
        <w:spacing w:after="0" w:line="360" w:lineRule="auto"/>
        <w:ind w:right="49" w:firstLine="708"/>
        <w:rPr>
          <w:bCs/>
        </w:rPr>
      </w:pPr>
      <w:r>
        <w:rPr>
          <w:bCs/>
        </w:rPr>
        <w:t>The complexity</w:t>
      </w:r>
      <w:r w:rsidRPr="00EE5286">
        <w:rPr>
          <w:bCs/>
        </w:rPr>
        <w:t xml:space="preserve"> of Company Operations (KOP): </w:t>
      </w:r>
      <w:r w:rsidRPr="00A74C07">
        <w:rPr>
          <w:bCs/>
        </w:rPr>
        <w:t>The KOP value is -42.254, suggesting an inverse relationship between the complexity of operations and audit delays. This implies that with each one-unit rise in operational complexity, the average audit</w:t>
      </w:r>
      <w:r>
        <w:rPr>
          <w:bCs/>
        </w:rPr>
        <w:t xml:space="preserve"> delay decreases by 42.254.</w:t>
      </w:r>
    </w:p>
    <w:p w14:paraId="1E1E08D9" w14:textId="77777777" w:rsidR="00F712AA" w:rsidRPr="00EE5286" w:rsidRDefault="00F712AA" w:rsidP="00F712AA">
      <w:pPr>
        <w:pStyle w:val="BodyText"/>
        <w:spacing w:after="0" w:line="360" w:lineRule="auto"/>
        <w:ind w:right="49" w:firstLine="708"/>
        <w:rPr>
          <w:bCs/>
        </w:rPr>
      </w:pPr>
      <w:r w:rsidRPr="00EE5286">
        <w:rPr>
          <w:bCs/>
        </w:rPr>
        <w:t xml:space="preserve">Profitability (ROA): </w:t>
      </w:r>
      <w:r w:rsidRPr="00A74C07">
        <w:rPr>
          <w:bCs/>
        </w:rPr>
        <w:t>The ROA value is -181.743, indicating that there is a negative correlation between profitability and audit delays. Specifically, for each one percent increase in profitability, the average audit delay is reduced by 181.743</w:t>
      </w:r>
      <w:r>
        <w:rPr>
          <w:bCs/>
        </w:rPr>
        <w:t>.</w:t>
      </w:r>
    </w:p>
    <w:p w14:paraId="01462FE6" w14:textId="77777777" w:rsidR="00F712AA" w:rsidRPr="00EE5286" w:rsidRDefault="00F712AA" w:rsidP="00F712AA">
      <w:pPr>
        <w:pStyle w:val="BodyText"/>
        <w:spacing w:after="0" w:line="360" w:lineRule="auto"/>
        <w:ind w:right="49" w:firstLine="708"/>
        <w:rPr>
          <w:bCs/>
        </w:rPr>
      </w:pPr>
      <w:r w:rsidRPr="00EE5286">
        <w:rPr>
          <w:bCs/>
        </w:rPr>
        <w:t xml:space="preserve">Solvency (DER): </w:t>
      </w:r>
      <w:r w:rsidRPr="00A74C07">
        <w:rPr>
          <w:bCs/>
        </w:rPr>
        <w:t>The DER value stands at 0.706, reflecting a positive correlation between solvency and audit delays. This indicates that for every one percent rise in solvency, the average audit delay increases by 0.706</w:t>
      </w:r>
      <w:r>
        <w:rPr>
          <w:bCs/>
        </w:rPr>
        <w:t>.</w:t>
      </w:r>
    </w:p>
    <w:p w14:paraId="7CA82D78" w14:textId="77777777" w:rsidR="00F712AA" w:rsidRPr="00EE5286" w:rsidRDefault="00F712AA" w:rsidP="00F712AA">
      <w:pPr>
        <w:pStyle w:val="BodyText"/>
        <w:spacing w:after="0" w:line="360" w:lineRule="auto"/>
        <w:ind w:right="49" w:firstLine="708"/>
        <w:rPr>
          <w:bCs/>
        </w:rPr>
      </w:pPr>
      <w:r w:rsidRPr="00EE5286">
        <w:rPr>
          <w:bCs/>
        </w:rPr>
        <w:t xml:space="preserve">Audit Tenure (AT): </w:t>
      </w:r>
      <w:r w:rsidRPr="00A74C07">
        <w:rPr>
          <w:bCs/>
        </w:rPr>
        <w:t>The AT value is -1.500, which signifies a negative relationship between the length of audit tenure and audit delay. Thus, for each additional year of auditor engagement, the average audit delay decreases by 1.500</w:t>
      </w:r>
      <w:r>
        <w:rPr>
          <w:bCs/>
        </w:rPr>
        <w:t>.</w:t>
      </w:r>
    </w:p>
    <w:p w14:paraId="5AE54729" w14:textId="77777777" w:rsidR="00F712AA" w:rsidRPr="00590503" w:rsidRDefault="00F712AA" w:rsidP="00F712AA">
      <w:pPr>
        <w:pStyle w:val="BodyText"/>
        <w:spacing w:after="0" w:line="360" w:lineRule="auto"/>
        <w:ind w:right="49" w:firstLine="708"/>
        <w:rPr>
          <w:bCs/>
        </w:rPr>
      </w:pPr>
      <w:r w:rsidRPr="00A65294">
        <w:rPr>
          <w:bCs/>
        </w:rPr>
        <w:lastRenderedPageBreak/>
        <w:t>Financial Distress (FD) is quantified through the Altman Z-Score method, resulting in a value of -0.570. This suggests that there is a negative correlation between financial distress and the delay in audits.</w:t>
      </w:r>
      <w:r>
        <w:rPr>
          <w:bCs/>
        </w:rPr>
        <w:t xml:space="preserve"> </w:t>
      </w:r>
      <w:r w:rsidRPr="00A74C07">
        <w:rPr>
          <w:bCs/>
        </w:rPr>
        <w:t>This means that for each one-point increase in financial distress, the average audit delay is expected to decrease by 0.570</w:t>
      </w:r>
      <w:r w:rsidRPr="00590503">
        <w:rPr>
          <w:bCs/>
        </w:rPr>
        <w:t>.</w:t>
      </w:r>
    </w:p>
    <w:p w14:paraId="28E7CAEF" w14:textId="77777777" w:rsidR="00F712AA" w:rsidRPr="00235034" w:rsidRDefault="00F712AA" w:rsidP="00F712AA">
      <w:pPr>
        <w:pStyle w:val="BodyText"/>
        <w:spacing w:after="0" w:line="360" w:lineRule="auto"/>
        <w:ind w:right="49"/>
        <w:rPr>
          <w:b/>
          <w:lang w:val="id-ID"/>
        </w:rPr>
      </w:pPr>
      <w:bookmarkStart w:id="62" w:name="_Toc181425373"/>
      <w:bookmarkStart w:id="63" w:name="_Toc181430845"/>
      <w:bookmarkStart w:id="64" w:name="_Toc181431689"/>
      <w:bookmarkStart w:id="65" w:name="_Toc181436377"/>
      <w:r w:rsidRPr="00235034">
        <w:rPr>
          <w:b/>
        </w:rPr>
        <w:t>Coefficient of Determination (</w:t>
      </w:r>
      <w:r w:rsidRPr="00235034">
        <w:rPr>
          <w:b/>
          <w:lang w:val="id-ID"/>
        </w:rPr>
        <w:t>R</w:t>
      </w:r>
      <w:r w:rsidRPr="00235034">
        <w:rPr>
          <w:b/>
          <w:vertAlign w:val="superscript"/>
          <w:lang w:val="id-ID"/>
        </w:rPr>
        <w:t>2</w:t>
      </w:r>
      <w:r w:rsidRPr="00235034">
        <w:rPr>
          <w:b/>
        </w:rPr>
        <w:t>)</w:t>
      </w:r>
      <w:bookmarkEnd w:id="62"/>
      <w:bookmarkEnd w:id="63"/>
      <w:bookmarkEnd w:id="64"/>
      <w:bookmarkEnd w:id="65"/>
    </w:p>
    <w:p w14:paraId="5F6100E6" w14:textId="087BD06B" w:rsidR="00F712AA" w:rsidRPr="00235034" w:rsidRDefault="00F712AA" w:rsidP="00F712AA">
      <w:pPr>
        <w:pStyle w:val="BodyText"/>
        <w:spacing w:after="0" w:line="240" w:lineRule="auto"/>
        <w:ind w:right="49"/>
        <w:jc w:val="center"/>
        <w:rPr>
          <w:b/>
        </w:rPr>
      </w:pPr>
      <w:bookmarkStart w:id="66" w:name="_Toc181421831"/>
      <w:bookmarkStart w:id="67" w:name="_Toc181421871"/>
      <w:bookmarkStart w:id="68" w:name="_Toc181421947"/>
      <w:bookmarkStart w:id="69" w:name="_Toc181422587"/>
      <w:r w:rsidRPr="00235034">
        <w:rPr>
          <w:b/>
          <w:lang w:val="id-ID"/>
        </w:rPr>
        <w:t xml:space="preserve">Table </w:t>
      </w:r>
      <w:r w:rsidRPr="00235034">
        <w:rPr>
          <w:b/>
          <w:lang w:val="id-ID"/>
        </w:rPr>
        <w:fldChar w:fldCharType="begin"/>
      </w:r>
      <w:r w:rsidRPr="00235034">
        <w:rPr>
          <w:b/>
          <w:lang w:val="id-ID"/>
        </w:rPr>
        <w:instrText xml:space="preserve"> SEQ Tabel_IV. \* ARABIC </w:instrText>
      </w:r>
      <w:r w:rsidRPr="00235034">
        <w:rPr>
          <w:b/>
          <w:lang w:val="id-ID"/>
        </w:rPr>
        <w:fldChar w:fldCharType="separate"/>
      </w:r>
      <w:r w:rsidRPr="00235034">
        <w:rPr>
          <w:b/>
          <w:noProof/>
          <w:lang w:val="id-ID"/>
        </w:rPr>
        <w:t>8</w:t>
      </w:r>
      <w:r w:rsidRPr="00235034">
        <w:rPr>
          <w:b/>
        </w:rPr>
        <w:fldChar w:fldCharType="end"/>
      </w:r>
    </w:p>
    <w:p w14:paraId="276C5BBC" w14:textId="77777777" w:rsidR="00F712AA" w:rsidRPr="00235034" w:rsidRDefault="00F712AA" w:rsidP="00F712AA">
      <w:pPr>
        <w:pStyle w:val="BodyText"/>
        <w:spacing w:after="0" w:line="240" w:lineRule="auto"/>
        <w:ind w:right="49"/>
        <w:jc w:val="center"/>
        <w:rPr>
          <w:b/>
        </w:rPr>
      </w:pPr>
      <w:r w:rsidRPr="00235034">
        <w:rPr>
          <w:b/>
        </w:rPr>
        <w:t>Present Coefficient of Determination Result (</w:t>
      </w:r>
      <w:r w:rsidRPr="00235034">
        <w:rPr>
          <w:b/>
          <w:lang w:val="id-ID"/>
        </w:rPr>
        <w:t>R</w:t>
      </w:r>
      <w:r w:rsidRPr="00235034">
        <w:rPr>
          <w:b/>
          <w:vertAlign w:val="superscript"/>
          <w:lang w:val="id-ID"/>
        </w:rPr>
        <w:t>2</w:t>
      </w:r>
      <w:r w:rsidRPr="00235034">
        <w:rPr>
          <w:b/>
        </w:rPr>
        <w:t>)</w:t>
      </w:r>
      <w:bookmarkEnd w:id="66"/>
      <w:bookmarkEnd w:id="67"/>
      <w:bookmarkEnd w:id="68"/>
      <w:bookmarkEnd w:id="69"/>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700"/>
      </w:tblGrid>
      <w:tr w:rsidR="00F712AA" w:rsidRPr="00590503" w14:paraId="5443F68E" w14:textId="77777777" w:rsidTr="00EA63B4">
        <w:trPr>
          <w:jc w:val="center"/>
        </w:trPr>
        <w:tc>
          <w:tcPr>
            <w:tcW w:w="3330" w:type="dxa"/>
            <w:tcBorders>
              <w:top w:val="single" w:sz="4" w:space="0" w:color="auto"/>
              <w:bottom w:val="single" w:sz="4" w:space="0" w:color="auto"/>
            </w:tcBorders>
          </w:tcPr>
          <w:p w14:paraId="03080F85" w14:textId="77777777" w:rsidR="00F712AA" w:rsidRPr="00590503" w:rsidRDefault="00F712AA" w:rsidP="00F712AA">
            <w:pPr>
              <w:pStyle w:val="TableParagraph"/>
              <w:ind w:right="49"/>
              <w:jc w:val="both"/>
              <w:rPr>
                <w:w w:val="95"/>
                <w:sz w:val="24"/>
              </w:rPr>
            </w:pPr>
            <w:r w:rsidRPr="00590503">
              <w:rPr>
                <w:w w:val="95"/>
                <w:sz w:val="24"/>
              </w:rPr>
              <w:t>Model</w:t>
            </w:r>
          </w:p>
        </w:tc>
        <w:tc>
          <w:tcPr>
            <w:tcW w:w="2700" w:type="dxa"/>
            <w:tcBorders>
              <w:top w:val="single" w:sz="4" w:space="0" w:color="auto"/>
              <w:bottom w:val="single" w:sz="4" w:space="0" w:color="auto"/>
            </w:tcBorders>
          </w:tcPr>
          <w:p w14:paraId="67481B16" w14:textId="77777777" w:rsidR="00F712AA" w:rsidRPr="00590503" w:rsidRDefault="00F712AA" w:rsidP="00F712AA">
            <w:pPr>
              <w:pStyle w:val="TableParagraph"/>
              <w:ind w:right="49"/>
              <w:jc w:val="both"/>
              <w:rPr>
                <w:w w:val="95"/>
                <w:sz w:val="24"/>
              </w:rPr>
            </w:pPr>
            <w:r w:rsidRPr="00590503">
              <w:rPr>
                <w:w w:val="95"/>
                <w:sz w:val="24"/>
              </w:rPr>
              <w:t>Adjusted R Square</w:t>
            </w:r>
          </w:p>
        </w:tc>
      </w:tr>
      <w:tr w:rsidR="00F712AA" w:rsidRPr="00590503" w14:paraId="64A29CDB" w14:textId="77777777" w:rsidTr="00EA63B4">
        <w:trPr>
          <w:jc w:val="center"/>
        </w:trPr>
        <w:tc>
          <w:tcPr>
            <w:tcW w:w="3330" w:type="dxa"/>
            <w:tcBorders>
              <w:top w:val="single" w:sz="4" w:space="0" w:color="auto"/>
            </w:tcBorders>
          </w:tcPr>
          <w:p w14:paraId="4E569514" w14:textId="77777777" w:rsidR="00F712AA" w:rsidRPr="00590503" w:rsidRDefault="00F712AA" w:rsidP="00F712AA">
            <w:pPr>
              <w:pStyle w:val="TableParagraph"/>
              <w:ind w:right="49"/>
              <w:jc w:val="both"/>
              <w:rPr>
                <w:w w:val="95"/>
                <w:sz w:val="24"/>
              </w:rPr>
            </w:pPr>
            <w:r w:rsidRPr="00590503">
              <w:rPr>
                <w:w w:val="95"/>
                <w:sz w:val="24"/>
              </w:rPr>
              <w:t>1</w:t>
            </w:r>
          </w:p>
        </w:tc>
        <w:tc>
          <w:tcPr>
            <w:tcW w:w="2700" w:type="dxa"/>
            <w:tcBorders>
              <w:top w:val="single" w:sz="4" w:space="0" w:color="auto"/>
            </w:tcBorders>
          </w:tcPr>
          <w:p w14:paraId="6AA204E4" w14:textId="77777777" w:rsidR="00F712AA" w:rsidRPr="00590503" w:rsidRDefault="00F712AA" w:rsidP="00F712AA">
            <w:pPr>
              <w:pStyle w:val="TableParagraph"/>
              <w:ind w:right="49"/>
              <w:jc w:val="both"/>
              <w:rPr>
                <w:w w:val="95"/>
                <w:sz w:val="24"/>
              </w:rPr>
            </w:pPr>
            <w:r w:rsidRPr="00590503">
              <w:rPr>
                <w:w w:val="95"/>
                <w:sz w:val="24"/>
              </w:rPr>
              <w:t>0,212</w:t>
            </w:r>
          </w:p>
        </w:tc>
      </w:tr>
    </w:tbl>
    <w:p w14:paraId="4D686B54" w14:textId="775914D1" w:rsidR="00F712AA" w:rsidRDefault="00F712AA" w:rsidP="00F712AA">
      <w:pPr>
        <w:pStyle w:val="BodyText"/>
        <w:spacing w:after="0" w:line="240" w:lineRule="auto"/>
        <w:ind w:right="49"/>
        <w:rPr>
          <w:bCs/>
        </w:rPr>
      </w:pPr>
      <w:r>
        <w:rPr>
          <w:bCs/>
        </w:rPr>
        <w:t xml:space="preserve">      </w:t>
      </w:r>
      <w:r>
        <w:rPr>
          <w:bCs/>
        </w:rPr>
        <w:tab/>
      </w:r>
      <w:r>
        <w:rPr>
          <w:bCs/>
        </w:rPr>
        <w:tab/>
      </w:r>
      <w:r w:rsidRPr="00EE5286">
        <w:rPr>
          <w:bCs/>
        </w:rPr>
        <w:t>Sour</w:t>
      </w:r>
      <w:r>
        <w:rPr>
          <w:bCs/>
        </w:rPr>
        <w:t>ce: Data Analysis Results, 2024</w:t>
      </w:r>
    </w:p>
    <w:p w14:paraId="29B58697" w14:textId="77777777" w:rsidR="00F712AA" w:rsidRPr="00590503" w:rsidRDefault="00F712AA" w:rsidP="00F712AA">
      <w:pPr>
        <w:pStyle w:val="BodyText"/>
        <w:spacing w:after="0" w:line="240" w:lineRule="auto"/>
        <w:ind w:right="49"/>
        <w:rPr>
          <w:bCs/>
        </w:rPr>
      </w:pPr>
    </w:p>
    <w:p w14:paraId="39EA5354" w14:textId="77777777" w:rsidR="00F712AA" w:rsidRPr="00590503" w:rsidRDefault="00F712AA" w:rsidP="00F712AA">
      <w:pPr>
        <w:pStyle w:val="BodyText"/>
        <w:spacing w:after="0" w:line="360" w:lineRule="auto"/>
        <w:ind w:right="49" w:firstLine="708"/>
        <w:rPr>
          <w:bCs/>
        </w:rPr>
      </w:pPr>
      <w:r w:rsidRPr="00A74C07">
        <w:rPr>
          <w:bCs/>
        </w:rPr>
        <w:t>According to the findings presented in Table 8, the coefficient of determination (R²) reveals an Adjusted R Square value of 0.212, equivalent to 21.2%. This suggests that the independent vari</w:t>
      </w:r>
      <w:r>
        <w:rPr>
          <w:bCs/>
        </w:rPr>
        <w:t xml:space="preserve">ables KOP, ROA, DER, AT, and FD </w:t>
      </w:r>
      <w:r w:rsidRPr="00A74C07">
        <w:rPr>
          <w:bCs/>
        </w:rPr>
        <w:t xml:space="preserve">account for 21.2% of the variation in the dependent variable, audit delay (AD). The remaining 78.8% of the variation is attributed to other factors not </w:t>
      </w:r>
      <w:r>
        <w:rPr>
          <w:bCs/>
        </w:rPr>
        <w:t>considered in this analysis</w:t>
      </w:r>
      <w:r w:rsidRPr="00590503">
        <w:rPr>
          <w:bCs/>
        </w:rPr>
        <w:t>.</w:t>
      </w:r>
    </w:p>
    <w:p w14:paraId="6D8B80E0" w14:textId="27362878" w:rsidR="00F712AA" w:rsidRPr="00235034" w:rsidRDefault="00F712AA" w:rsidP="00F712AA">
      <w:pPr>
        <w:pStyle w:val="BodyText"/>
        <w:spacing w:after="0" w:line="360" w:lineRule="auto"/>
        <w:ind w:right="49"/>
        <w:rPr>
          <w:b/>
          <w:lang w:val="id-ID"/>
        </w:rPr>
      </w:pPr>
      <w:bookmarkStart w:id="70" w:name="_Toc181425374"/>
      <w:bookmarkStart w:id="71" w:name="_Toc181430846"/>
      <w:bookmarkStart w:id="72" w:name="_Toc181431690"/>
      <w:bookmarkStart w:id="73" w:name="_Toc181436378"/>
      <w:r w:rsidRPr="00235034">
        <w:rPr>
          <w:b/>
        </w:rPr>
        <w:t>F-Test</w:t>
      </w:r>
      <w:bookmarkEnd w:id="70"/>
      <w:bookmarkEnd w:id="71"/>
      <w:bookmarkEnd w:id="72"/>
      <w:bookmarkEnd w:id="73"/>
    </w:p>
    <w:p w14:paraId="116E7E2B" w14:textId="77777777" w:rsidR="00F712AA" w:rsidRDefault="00F712AA" w:rsidP="00F712AA">
      <w:pPr>
        <w:pStyle w:val="BodyText"/>
        <w:spacing w:after="0" w:line="240" w:lineRule="auto"/>
        <w:ind w:right="49"/>
        <w:jc w:val="center"/>
        <w:rPr>
          <w:b/>
        </w:rPr>
      </w:pPr>
      <w:bookmarkStart w:id="74" w:name="_Toc181421872"/>
      <w:bookmarkStart w:id="75" w:name="_Toc181421948"/>
      <w:bookmarkStart w:id="76" w:name="_Toc181422588"/>
      <w:bookmarkStart w:id="77" w:name="_Toc181421832"/>
      <w:r w:rsidRPr="00235034">
        <w:rPr>
          <w:b/>
          <w:lang w:val="id-ID"/>
        </w:rPr>
        <w:t xml:space="preserve">Table </w:t>
      </w:r>
      <w:r w:rsidRPr="00235034">
        <w:rPr>
          <w:b/>
          <w:lang w:val="id-ID"/>
        </w:rPr>
        <w:fldChar w:fldCharType="begin"/>
      </w:r>
      <w:r w:rsidRPr="00235034">
        <w:rPr>
          <w:b/>
          <w:lang w:val="id-ID"/>
        </w:rPr>
        <w:instrText xml:space="preserve"> SEQ Tabel_IV. \* ARABIC </w:instrText>
      </w:r>
      <w:r w:rsidRPr="00235034">
        <w:rPr>
          <w:b/>
          <w:lang w:val="id-ID"/>
        </w:rPr>
        <w:fldChar w:fldCharType="separate"/>
      </w:r>
      <w:r w:rsidRPr="00235034">
        <w:rPr>
          <w:b/>
          <w:noProof/>
          <w:lang w:val="id-ID"/>
        </w:rPr>
        <w:t>9</w:t>
      </w:r>
      <w:bookmarkEnd w:id="74"/>
      <w:bookmarkEnd w:id="75"/>
      <w:bookmarkEnd w:id="76"/>
      <w:r w:rsidRPr="00235034">
        <w:rPr>
          <w:b/>
        </w:rPr>
        <w:fldChar w:fldCharType="end"/>
      </w:r>
      <w:bookmarkStart w:id="78" w:name="_Toc181421873"/>
      <w:bookmarkStart w:id="79" w:name="_Toc181421949"/>
      <w:bookmarkStart w:id="80" w:name="_Toc181422589"/>
    </w:p>
    <w:p w14:paraId="1BDBF688" w14:textId="0702CC91" w:rsidR="00F712AA" w:rsidRPr="00235034" w:rsidRDefault="00F712AA" w:rsidP="00F712AA">
      <w:pPr>
        <w:pStyle w:val="BodyText"/>
        <w:spacing w:after="0" w:line="240" w:lineRule="auto"/>
        <w:ind w:right="49"/>
        <w:jc w:val="center"/>
        <w:rPr>
          <w:b/>
        </w:rPr>
      </w:pPr>
      <w:r w:rsidRPr="00235034">
        <w:rPr>
          <w:b/>
        </w:rPr>
        <w:t>Results of the F-Test</w:t>
      </w:r>
      <w:bookmarkEnd w:id="77"/>
      <w:bookmarkEnd w:id="78"/>
      <w:bookmarkEnd w:id="79"/>
      <w:bookmarkEnd w:id="80"/>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620"/>
        <w:gridCol w:w="2340"/>
      </w:tblGrid>
      <w:tr w:rsidR="00F712AA" w:rsidRPr="00590503" w14:paraId="745A20B9" w14:textId="77777777" w:rsidTr="00EA63B4">
        <w:trPr>
          <w:jc w:val="center"/>
        </w:trPr>
        <w:tc>
          <w:tcPr>
            <w:tcW w:w="2070" w:type="dxa"/>
            <w:tcBorders>
              <w:top w:val="single" w:sz="4" w:space="0" w:color="auto"/>
              <w:bottom w:val="single" w:sz="4" w:space="0" w:color="auto"/>
            </w:tcBorders>
          </w:tcPr>
          <w:p w14:paraId="608D7B46" w14:textId="77777777" w:rsidR="00F712AA" w:rsidRPr="00590503" w:rsidRDefault="00F712AA" w:rsidP="00F712AA">
            <w:pPr>
              <w:pStyle w:val="TableParagraph"/>
              <w:ind w:right="49"/>
              <w:rPr>
                <w:w w:val="95"/>
                <w:sz w:val="24"/>
              </w:rPr>
            </w:pPr>
            <w:r w:rsidRPr="00590503">
              <w:rPr>
                <w:w w:val="95"/>
                <w:sz w:val="24"/>
              </w:rPr>
              <w:t>Model</w:t>
            </w:r>
          </w:p>
        </w:tc>
        <w:tc>
          <w:tcPr>
            <w:tcW w:w="1620" w:type="dxa"/>
            <w:tcBorders>
              <w:top w:val="single" w:sz="4" w:space="0" w:color="auto"/>
              <w:bottom w:val="single" w:sz="4" w:space="0" w:color="auto"/>
            </w:tcBorders>
          </w:tcPr>
          <w:p w14:paraId="2EBF0B4A" w14:textId="77777777" w:rsidR="00F712AA" w:rsidRPr="00590503" w:rsidRDefault="00F712AA" w:rsidP="00F712AA">
            <w:pPr>
              <w:pStyle w:val="TableParagraph"/>
              <w:ind w:right="49"/>
              <w:rPr>
                <w:w w:val="95"/>
                <w:sz w:val="24"/>
              </w:rPr>
            </w:pPr>
            <w:r w:rsidRPr="00590503">
              <w:rPr>
                <w:w w:val="95"/>
                <w:sz w:val="24"/>
              </w:rPr>
              <w:t>F</w:t>
            </w:r>
          </w:p>
        </w:tc>
        <w:tc>
          <w:tcPr>
            <w:tcW w:w="2340" w:type="dxa"/>
            <w:tcBorders>
              <w:top w:val="single" w:sz="4" w:space="0" w:color="auto"/>
              <w:bottom w:val="single" w:sz="4" w:space="0" w:color="auto"/>
            </w:tcBorders>
          </w:tcPr>
          <w:p w14:paraId="7220EE12" w14:textId="77777777" w:rsidR="00F712AA" w:rsidRPr="00590503" w:rsidRDefault="00F712AA" w:rsidP="00F712AA">
            <w:pPr>
              <w:pStyle w:val="TableParagraph"/>
              <w:ind w:right="49"/>
              <w:rPr>
                <w:w w:val="95"/>
                <w:sz w:val="24"/>
              </w:rPr>
            </w:pPr>
            <w:r w:rsidRPr="00590503">
              <w:rPr>
                <w:w w:val="95"/>
                <w:sz w:val="24"/>
              </w:rPr>
              <w:t>Sig.</w:t>
            </w:r>
          </w:p>
        </w:tc>
      </w:tr>
      <w:tr w:rsidR="00F712AA" w:rsidRPr="00590503" w14:paraId="54206939" w14:textId="77777777" w:rsidTr="00EA63B4">
        <w:trPr>
          <w:jc w:val="center"/>
        </w:trPr>
        <w:tc>
          <w:tcPr>
            <w:tcW w:w="2070" w:type="dxa"/>
            <w:tcBorders>
              <w:top w:val="single" w:sz="4" w:space="0" w:color="auto"/>
            </w:tcBorders>
          </w:tcPr>
          <w:p w14:paraId="40A64089" w14:textId="77777777" w:rsidR="00F712AA" w:rsidRPr="00590503" w:rsidRDefault="00F712AA" w:rsidP="00F712AA">
            <w:pPr>
              <w:pStyle w:val="TableParagraph"/>
              <w:ind w:right="49"/>
              <w:rPr>
                <w:w w:val="95"/>
                <w:sz w:val="24"/>
              </w:rPr>
            </w:pPr>
            <w:r w:rsidRPr="00590503">
              <w:rPr>
                <w:w w:val="95"/>
                <w:sz w:val="24"/>
              </w:rPr>
              <w:t>1</w:t>
            </w:r>
          </w:p>
        </w:tc>
        <w:tc>
          <w:tcPr>
            <w:tcW w:w="1620" w:type="dxa"/>
            <w:tcBorders>
              <w:top w:val="single" w:sz="4" w:space="0" w:color="auto"/>
            </w:tcBorders>
          </w:tcPr>
          <w:p w14:paraId="45068DD4" w14:textId="77777777" w:rsidR="00F712AA" w:rsidRPr="00590503" w:rsidRDefault="00F712AA" w:rsidP="00F712AA">
            <w:pPr>
              <w:pStyle w:val="TableParagraph"/>
              <w:ind w:right="49"/>
              <w:rPr>
                <w:w w:val="95"/>
                <w:sz w:val="24"/>
              </w:rPr>
            </w:pPr>
            <w:r w:rsidRPr="00590503">
              <w:rPr>
                <w:w w:val="95"/>
                <w:sz w:val="24"/>
              </w:rPr>
              <w:t>2,817</w:t>
            </w:r>
          </w:p>
        </w:tc>
        <w:tc>
          <w:tcPr>
            <w:tcW w:w="2340" w:type="dxa"/>
            <w:tcBorders>
              <w:top w:val="single" w:sz="4" w:space="0" w:color="auto"/>
            </w:tcBorders>
          </w:tcPr>
          <w:p w14:paraId="277BD17D" w14:textId="77777777" w:rsidR="00F712AA" w:rsidRPr="00590503" w:rsidRDefault="00F712AA" w:rsidP="00F712AA">
            <w:pPr>
              <w:pStyle w:val="TableParagraph"/>
              <w:ind w:right="49"/>
              <w:rPr>
                <w:w w:val="95"/>
                <w:sz w:val="24"/>
              </w:rPr>
            </w:pPr>
            <w:r w:rsidRPr="00590503">
              <w:rPr>
                <w:w w:val="95"/>
                <w:sz w:val="24"/>
              </w:rPr>
              <w:t>0,034</w:t>
            </w:r>
          </w:p>
        </w:tc>
      </w:tr>
    </w:tbl>
    <w:p w14:paraId="7A718E1D" w14:textId="62F68AC2" w:rsidR="00F712AA" w:rsidRDefault="00F712AA" w:rsidP="00F712AA">
      <w:pPr>
        <w:pStyle w:val="BodyText"/>
        <w:spacing w:after="0" w:line="240" w:lineRule="auto"/>
        <w:ind w:right="49"/>
        <w:rPr>
          <w:bCs/>
        </w:rPr>
      </w:pPr>
      <w:r>
        <w:rPr>
          <w:bCs/>
        </w:rPr>
        <w:t xml:space="preserve">      </w:t>
      </w:r>
      <w:r>
        <w:rPr>
          <w:bCs/>
        </w:rPr>
        <w:tab/>
      </w:r>
      <w:r>
        <w:rPr>
          <w:bCs/>
        </w:rPr>
        <w:tab/>
      </w:r>
      <w:r w:rsidRPr="00EE5286">
        <w:rPr>
          <w:bCs/>
        </w:rPr>
        <w:t>Source: Data Analysis Results, 2024</w:t>
      </w:r>
    </w:p>
    <w:p w14:paraId="66AD7F30" w14:textId="77777777" w:rsidR="00F712AA" w:rsidRPr="00590503" w:rsidRDefault="00F712AA" w:rsidP="00F712AA">
      <w:pPr>
        <w:pStyle w:val="BodyText"/>
        <w:spacing w:after="0" w:line="240" w:lineRule="auto"/>
        <w:ind w:right="49"/>
        <w:rPr>
          <w:bCs/>
        </w:rPr>
      </w:pPr>
    </w:p>
    <w:p w14:paraId="7165E9A4" w14:textId="77777777" w:rsidR="00F712AA" w:rsidRPr="00590503" w:rsidRDefault="00F712AA" w:rsidP="00F712AA">
      <w:pPr>
        <w:pStyle w:val="BodyText"/>
        <w:spacing w:after="0" w:line="360" w:lineRule="auto"/>
        <w:ind w:right="49" w:firstLine="708"/>
        <w:rPr>
          <w:bCs/>
        </w:rPr>
      </w:pPr>
      <w:r w:rsidRPr="00A74C07">
        <w:rPr>
          <w:bCs/>
        </w:rPr>
        <w:t>The findings in Table 9 indicate that the simultaneous test (F-test) produced a significance value of 0.034, which is below the 0.05 threshold. Therefore, at a 95% confidence level, we can conclude that the multiple linear regression model satisfies the necessary criteria and is deemed a good fit. This result signifies that the independent variables collectively influence audit delay</w:t>
      </w:r>
      <w:r w:rsidRPr="00B53C53">
        <w:rPr>
          <w:bCs/>
        </w:rPr>
        <w:t>.</w:t>
      </w:r>
    </w:p>
    <w:p w14:paraId="6DC12333" w14:textId="63BB3DF6" w:rsidR="00F712AA" w:rsidRPr="00235034" w:rsidRDefault="00F712AA" w:rsidP="00F712AA">
      <w:pPr>
        <w:pStyle w:val="BodyText"/>
        <w:spacing w:after="0" w:line="360" w:lineRule="auto"/>
        <w:ind w:right="49"/>
        <w:rPr>
          <w:b/>
          <w:lang w:val="id-ID"/>
        </w:rPr>
      </w:pPr>
      <w:bookmarkStart w:id="81" w:name="_Toc181425375"/>
      <w:bookmarkStart w:id="82" w:name="_Toc181430847"/>
      <w:bookmarkStart w:id="83" w:name="_Toc181431691"/>
      <w:bookmarkStart w:id="84" w:name="_Toc181436379"/>
      <w:r w:rsidRPr="00235034">
        <w:rPr>
          <w:b/>
        </w:rPr>
        <w:t>T-Test</w:t>
      </w:r>
      <w:bookmarkEnd w:id="81"/>
      <w:bookmarkEnd w:id="82"/>
      <w:bookmarkEnd w:id="83"/>
      <w:bookmarkEnd w:id="84"/>
    </w:p>
    <w:p w14:paraId="5C61E857" w14:textId="77777777" w:rsidR="00F712AA" w:rsidRDefault="00F712AA" w:rsidP="00F712AA">
      <w:pPr>
        <w:pStyle w:val="BodyText"/>
        <w:spacing w:after="0" w:line="240" w:lineRule="auto"/>
        <w:ind w:right="49" w:firstLine="708"/>
        <w:jc w:val="center"/>
        <w:rPr>
          <w:b/>
        </w:rPr>
      </w:pPr>
      <w:bookmarkStart w:id="85" w:name="_Toc181421874"/>
      <w:bookmarkStart w:id="86" w:name="_Toc181421950"/>
      <w:bookmarkStart w:id="87" w:name="_Toc181422590"/>
      <w:bookmarkStart w:id="88" w:name="_Toc181421833"/>
      <w:r w:rsidRPr="00235034">
        <w:rPr>
          <w:b/>
          <w:lang w:val="id-ID"/>
        </w:rPr>
        <w:t xml:space="preserve">Table </w:t>
      </w:r>
      <w:r w:rsidRPr="00235034">
        <w:rPr>
          <w:b/>
          <w:lang w:val="id-ID"/>
        </w:rPr>
        <w:fldChar w:fldCharType="begin"/>
      </w:r>
      <w:r w:rsidRPr="00235034">
        <w:rPr>
          <w:b/>
          <w:lang w:val="id-ID"/>
        </w:rPr>
        <w:instrText xml:space="preserve"> SEQ Tabel_IV. \* ARABIC </w:instrText>
      </w:r>
      <w:r w:rsidRPr="00235034">
        <w:rPr>
          <w:b/>
          <w:lang w:val="id-ID"/>
        </w:rPr>
        <w:fldChar w:fldCharType="separate"/>
      </w:r>
      <w:r w:rsidRPr="00235034">
        <w:rPr>
          <w:b/>
          <w:noProof/>
          <w:lang w:val="id-ID"/>
        </w:rPr>
        <w:t>10</w:t>
      </w:r>
      <w:bookmarkEnd w:id="85"/>
      <w:bookmarkEnd w:id="86"/>
      <w:bookmarkEnd w:id="87"/>
      <w:r w:rsidRPr="00235034">
        <w:rPr>
          <w:b/>
        </w:rPr>
        <w:fldChar w:fldCharType="end"/>
      </w:r>
      <w:bookmarkEnd w:id="88"/>
    </w:p>
    <w:p w14:paraId="257047A7" w14:textId="771E319A" w:rsidR="00F712AA" w:rsidRPr="00235034" w:rsidRDefault="00F712AA" w:rsidP="00F712AA">
      <w:pPr>
        <w:pStyle w:val="BodyText"/>
        <w:spacing w:after="0" w:line="240" w:lineRule="auto"/>
        <w:ind w:right="49" w:firstLine="708"/>
        <w:jc w:val="center"/>
        <w:rPr>
          <w:b/>
        </w:rPr>
      </w:pPr>
      <w:r w:rsidRPr="00235034">
        <w:rPr>
          <w:b/>
        </w:rPr>
        <w:t>Results of the T-Test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530"/>
        <w:gridCol w:w="2456"/>
      </w:tblGrid>
      <w:tr w:rsidR="00F712AA" w:rsidRPr="00590503" w14:paraId="55C248AD" w14:textId="77777777" w:rsidTr="00EA63B4">
        <w:trPr>
          <w:jc w:val="center"/>
        </w:trPr>
        <w:tc>
          <w:tcPr>
            <w:tcW w:w="1800" w:type="dxa"/>
            <w:tcBorders>
              <w:top w:val="single" w:sz="4" w:space="0" w:color="auto"/>
              <w:bottom w:val="single" w:sz="4" w:space="0" w:color="auto"/>
            </w:tcBorders>
          </w:tcPr>
          <w:p w14:paraId="5F798957" w14:textId="77777777" w:rsidR="00F712AA" w:rsidRPr="00590503" w:rsidRDefault="00F712AA" w:rsidP="00F712AA">
            <w:pPr>
              <w:pStyle w:val="TableParagraph"/>
              <w:ind w:right="49"/>
              <w:jc w:val="both"/>
              <w:rPr>
                <w:w w:val="95"/>
                <w:sz w:val="24"/>
              </w:rPr>
            </w:pPr>
            <w:r>
              <w:rPr>
                <w:w w:val="95"/>
                <w:sz w:val="24"/>
              </w:rPr>
              <w:t>Variable</w:t>
            </w:r>
          </w:p>
        </w:tc>
        <w:tc>
          <w:tcPr>
            <w:tcW w:w="1530" w:type="dxa"/>
            <w:tcBorders>
              <w:top w:val="single" w:sz="4" w:space="0" w:color="auto"/>
              <w:bottom w:val="single" w:sz="4" w:space="0" w:color="auto"/>
            </w:tcBorders>
          </w:tcPr>
          <w:p w14:paraId="5496A6DF" w14:textId="77777777" w:rsidR="00F712AA" w:rsidRPr="00590503" w:rsidRDefault="00F712AA" w:rsidP="00F712AA">
            <w:pPr>
              <w:pStyle w:val="TableParagraph"/>
              <w:ind w:right="49"/>
              <w:jc w:val="both"/>
              <w:rPr>
                <w:w w:val="95"/>
                <w:sz w:val="24"/>
              </w:rPr>
            </w:pPr>
            <w:r w:rsidRPr="00590503">
              <w:rPr>
                <w:w w:val="95"/>
                <w:sz w:val="24"/>
              </w:rPr>
              <w:t>Sig.</w:t>
            </w:r>
          </w:p>
        </w:tc>
        <w:tc>
          <w:tcPr>
            <w:tcW w:w="2456" w:type="dxa"/>
            <w:tcBorders>
              <w:top w:val="single" w:sz="4" w:space="0" w:color="auto"/>
              <w:bottom w:val="single" w:sz="4" w:space="0" w:color="auto"/>
            </w:tcBorders>
          </w:tcPr>
          <w:p w14:paraId="328C91CE" w14:textId="77777777" w:rsidR="00F712AA" w:rsidRPr="00590503" w:rsidRDefault="00F712AA" w:rsidP="00F712AA">
            <w:pPr>
              <w:pStyle w:val="TableParagraph"/>
              <w:ind w:right="49"/>
              <w:jc w:val="both"/>
              <w:rPr>
                <w:w w:val="95"/>
                <w:sz w:val="24"/>
              </w:rPr>
            </w:pPr>
            <w:r>
              <w:rPr>
                <w:w w:val="95"/>
                <w:sz w:val="24"/>
              </w:rPr>
              <w:t>Description</w:t>
            </w:r>
          </w:p>
        </w:tc>
      </w:tr>
      <w:tr w:rsidR="00F712AA" w:rsidRPr="00590503" w14:paraId="19EC5823" w14:textId="77777777" w:rsidTr="00EA63B4">
        <w:trPr>
          <w:jc w:val="center"/>
        </w:trPr>
        <w:tc>
          <w:tcPr>
            <w:tcW w:w="1800" w:type="dxa"/>
            <w:tcBorders>
              <w:top w:val="single" w:sz="4" w:space="0" w:color="auto"/>
            </w:tcBorders>
          </w:tcPr>
          <w:p w14:paraId="196B0192" w14:textId="77777777" w:rsidR="00F712AA" w:rsidRPr="00590503" w:rsidRDefault="00F712AA" w:rsidP="00F712AA">
            <w:pPr>
              <w:pStyle w:val="TableParagraph"/>
              <w:ind w:right="49"/>
              <w:jc w:val="both"/>
              <w:rPr>
                <w:w w:val="95"/>
                <w:sz w:val="24"/>
              </w:rPr>
            </w:pPr>
            <w:r w:rsidRPr="00590503">
              <w:rPr>
                <w:w w:val="95"/>
                <w:sz w:val="24"/>
              </w:rPr>
              <w:t>KOP</w:t>
            </w:r>
          </w:p>
        </w:tc>
        <w:tc>
          <w:tcPr>
            <w:tcW w:w="1530" w:type="dxa"/>
            <w:tcBorders>
              <w:top w:val="single" w:sz="4" w:space="0" w:color="auto"/>
            </w:tcBorders>
          </w:tcPr>
          <w:p w14:paraId="39280705" w14:textId="77777777" w:rsidR="00F712AA" w:rsidRPr="00590503" w:rsidRDefault="00F712AA" w:rsidP="00F712AA">
            <w:pPr>
              <w:pStyle w:val="TableParagraph"/>
              <w:ind w:right="49"/>
              <w:jc w:val="both"/>
              <w:rPr>
                <w:w w:val="95"/>
                <w:sz w:val="24"/>
              </w:rPr>
            </w:pPr>
            <w:r w:rsidRPr="00590503">
              <w:rPr>
                <w:w w:val="95"/>
                <w:sz w:val="24"/>
              </w:rPr>
              <w:t>0,045</w:t>
            </w:r>
          </w:p>
        </w:tc>
        <w:tc>
          <w:tcPr>
            <w:tcW w:w="2456" w:type="dxa"/>
            <w:tcBorders>
              <w:top w:val="single" w:sz="4" w:space="0" w:color="auto"/>
            </w:tcBorders>
          </w:tcPr>
          <w:p w14:paraId="4FA22182" w14:textId="77777777" w:rsidR="00F712AA" w:rsidRPr="00276643" w:rsidRDefault="00F712AA" w:rsidP="00F712AA">
            <w:pPr>
              <w:spacing w:after="0" w:line="240" w:lineRule="auto"/>
              <w:ind w:right="49"/>
            </w:pPr>
            <w:r w:rsidRPr="00276643">
              <w:t>H1 Accepted</w:t>
            </w:r>
          </w:p>
        </w:tc>
      </w:tr>
      <w:tr w:rsidR="00F712AA" w:rsidRPr="00590503" w14:paraId="5ACC4A77" w14:textId="77777777" w:rsidTr="00EA63B4">
        <w:trPr>
          <w:jc w:val="center"/>
        </w:trPr>
        <w:tc>
          <w:tcPr>
            <w:tcW w:w="1800" w:type="dxa"/>
          </w:tcPr>
          <w:p w14:paraId="1AFDFD60" w14:textId="77777777" w:rsidR="00F712AA" w:rsidRPr="00590503" w:rsidRDefault="00F712AA" w:rsidP="00F712AA">
            <w:pPr>
              <w:pStyle w:val="TableParagraph"/>
              <w:ind w:right="49"/>
              <w:jc w:val="both"/>
              <w:rPr>
                <w:w w:val="95"/>
                <w:sz w:val="24"/>
              </w:rPr>
            </w:pPr>
            <w:r w:rsidRPr="00590503">
              <w:rPr>
                <w:w w:val="95"/>
                <w:sz w:val="24"/>
              </w:rPr>
              <w:t>ROA</w:t>
            </w:r>
          </w:p>
        </w:tc>
        <w:tc>
          <w:tcPr>
            <w:tcW w:w="1530" w:type="dxa"/>
          </w:tcPr>
          <w:p w14:paraId="1CEE0A5E" w14:textId="77777777" w:rsidR="00F712AA" w:rsidRPr="00590503" w:rsidRDefault="00F712AA" w:rsidP="00F712AA">
            <w:pPr>
              <w:pStyle w:val="TableParagraph"/>
              <w:ind w:right="49"/>
              <w:jc w:val="both"/>
              <w:rPr>
                <w:w w:val="95"/>
                <w:sz w:val="24"/>
              </w:rPr>
            </w:pPr>
            <w:r w:rsidRPr="00590503">
              <w:rPr>
                <w:w w:val="95"/>
                <w:sz w:val="24"/>
              </w:rPr>
              <w:t>0,087</w:t>
            </w:r>
          </w:p>
        </w:tc>
        <w:tc>
          <w:tcPr>
            <w:tcW w:w="2456" w:type="dxa"/>
          </w:tcPr>
          <w:p w14:paraId="73107E5A" w14:textId="77777777" w:rsidR="00F712AA" w:rsidRPr="00276643" w:rsidRDefault="00F712AA" w:rsidP="00F712AA">
            <w:pPr>
              <w:spacing w:after="0" w:line="240" w:lineRule="auto"/>
              <w:ind w:right="49"/>
            </w:pPr>
            <w:r w:rsidRPr="00276643">
              <w:t>H2 Accepted</w:t>
            </w:r>
          </w:p>
        </w:tc>
      </w:tr>
      <w:tr w:rsidR="00F712AA" w:rsidRPr="00590503" w14:paraId="6D366EBD" w14:textId="77777777" w:rsidTr="00EA63B4">
        <w:trPr>
          <w:jc w:val="center"/>
        </w:trPr>
        <w:tc>
          <w:tcPr>
            <w:tcW w:w="1800" w:type="dxa"/>
          </w:tcPr>
          <w:p w14:paraId="6A51962A" w14:textId="77777777" w:rsidR="00F712AA" w:rsidRPr="00590503" w:rsidRDefault="00F712AA" w:rsidP="00F712AA">
            <w:pPr>
              <w:pStyle w:val="TableParagraph"/>
              <w:ind w:right="49"/>
              <w:jc w:val="both"/>
              <w:rPr>
                <w:w w:val="95"/>
                <w:sz w:val="24"/>
              </w:rPr>
            </w:pPr>
            <w:r w:rsidRPr="00590503">
              <w:rPr>
                <w:w w:val="95"/>
                <w:sz w:val="24"/>
              </w:rPr>
              <w:t>DER</w:t>
            </w:r>
          </w:p>
        </w:tc>
        <w:tc>
          <w:tcPr>
            <w:tcW w:w="1530" w:type="dxa"/>
          </w:tcPr>
          <w:p w14:paraId="56FAA86A" w14:textId="77777777" w:rsidR="00F712AA" w:rsidRPr="00590503" w:rsidRDefault="00F712AA" w:rsidP="00F712AA">
            <w:pPr>
              <w:pStyle w:val="TableParagraph"/>
              <w:ind w:right="49"/>
              <w:jc w:val="both"/>
              <w:rPr>
                <w:w w:val="95"/>
                <w:sz w:val="24"/>
              </w:rPr>
            </w:pPr>
            <w:r w:rsidRPr="00590503">
              <w:rPr>
                <w:w w:val="95"/>
                <w:sz w:val="24"/>
              </w:rPr>
              <w:t>0,459</w:t>
            </w:r>
          </w:p>
        </w:tc>
        <w:tc>
          <w:tcPr>
            <w:tcW w:w="2456" w:type="dxa"/>
          </w:tcPr>
          <w:p w14:paraId="691BDE92" w14:textId="77777777" w:rsidR="00F712AA" w:rsidRPr="00276643" w:rsidRDefault="00F712AA" w:rsidP="00F712AA">
            <w:pPr>
              <w:spacing w:after="0" w:line="240" w:lineRule="auto"/>
              <w:ind w:right="49"/>
            </w:pPr>
            <w:r w:rsidRPr="00276643">
              <w:t>H3 Rejected</w:t>
            </w:r>
          </w:p>
        </w:tc>
      </w:tr>
      <w:tr w:rsidR="00F712AA" w:rsidRPr="00590503" w14:paraId="07D5FA8C" w14:textId="77777777" w:rsidTr="00EA63B4">
        <w:trPr>
          <w:jc w:val="center"/>
        </w:trPr>
        <w:tc>
          <w:tcPr>
            <w:tcW w:w="1800" w:type="dxa"/>
          </w:tcPr>
          <w:p w14:paraId="5C43317C" w14:textId="77777777" w:rsidR="00F712AA" w:rsidRPr="00590503" w:rsidRDefault="00F712AA" w:rsidP="00F712AA">
            <w:pPr>
              <w:pStyle w:val="TableParagraph"/>
              <w:ind w:right="49"/>
              <w:jc w:val="both"/>
              <w:rPr>
                <w:w w:val="95"/>
                <w:sz w:val="24"/>
              </w:rPr>
            </w:pPr>
            <w:r w:rsidRPr="00590503">
              <w:rPr>
                <w:w w:val="95"/>
                <w:sz w:val="24"/>
              </w:rPr>
              <w:t>AT</w:t>
            </w:r>
          </w:p>
        </w:tc>
        <w:tc>
          <w:tcPr>
            <w:tcW w:w="1530" w:type="dxa"/>
          </w:tcPr>
          <w:p w14:paraId="18CE4062" w14:textId="77777777" w:rsidR="00F712AA" w:rsidRPr="00590503" w:rsidRDefault="00F712AA" w:rsidP="00F712AA">
            <w:pPr>
              <w:pStyle w:val="TableParagraph"/>
              <w:ind w:right="49"/>
              <w:jc w:val="both"/>
              <w:rPr>
                <w:w w:val="95"/>
                <w:sz w:val="24"/>
              </w:rPr>
            </w:pPr>
            <w:r w:rsidRPr="00590503">
              <w:rPr>
                <w:w w:val="95"/>
                <w:sz w:val="24"/>
              </w:rPr>
              <w:t>0,845</w:t>
            </w:r>
          </w:p>
        </w:tc>
        <w:tc>
          <w:tcPr>
            <w:tcW w:w="2456" w:type="dxa"/>
          </w:tcPr>
          <w:p w14:paraId="3B88BD61" w14:textId="77777777" w:rsidR="00F712AA" w:rsidRPr="00276643" w:rsidRDefault="00F712AA" w:rsidP="00F712AA">
            <w:pPr>
              <w:spacing w:after="0" w:line="240" w:lineRule="auto"/>
              <w:ind w:right="49"/>
            </w:pPr>
            <w:r w:rsidRPr="00276643">
              <w:t>H4 Rejected</w:t>
            </w:r>
          </w:p>
        </w:tc>
      </w:tr>
      <w:tr w:rsidR="00F712AA" w:rsidRPr="00590503" w14:paraId="026B5AAF" w14:textId="77777777" w:rsidTr="00EA63B4">
        <w:trPr>
          <w:jc w:val="center"/>
        </w:trPr>
        <w:tc>
          <w:tcPr>
            <w:tcW w:w="1800" w:type="dxa"/>
          </w:tcPr>
          <w:p w14:paraId="36F98B33" w14:textId="77777777" w:rsidR="00F712AA" w:rsidRPr="00590503" w:rsidRDefault="00F712AA" w:rsidP="00F712AA">
            <w:pPr>
              <w:pStyle w:val="TableParagraph"/>
              <w:ind w:right="49"/>
              <w:jc w:val="both"/>
              <w:rPr>
                <w:w w:val="95"/>
                <w:sz w:val="24"/>
              </w:rPr>
            </w:pPr>
            <w:r w:rsidRPr="00590503">
              <w:rPr>
                <w:w w:val="95"/>
                <w:sz w:val="24"/>
              </w:rPr>
              <w:lastRenderedPageBreak/>
              <w:t>FD</w:t>
            </w:r>
          </w:p>
        </w:tc>
        <w:tc>
          <w:tcPr>
            <w:tcW w:w="1530" w:type="dxa"/>
          </w:tcPr>
          <w:p w14:paraId="1E5E022A" w14:textId="77777777" w:rsidR="00F712AA" w:rsidRPr="00590503" w:rsidRDefault="00F712AA" w:rsidP="00F712AA">
            <w:pPr>
              <w:pStyle w:val="TableParagraph"/>
              <w:ind w:right="49"/>
              <w:jc w:val="both"/>
              <w:rPr>
                <w:w w:val="95"/>
                <w:sz w:val="24"/>
              </w:rPr>
            </w:pPr>
            <w:r w:rsidRPr="00590503">
              <w:rPr>
                <w:w w:val="95"/>
                <w:sz w:val="24"/>
              </w:rPr>
              <w:t>0,908</w:t>
            </w:r>
          </w:p>
        </w:tc>
        <w:tc>
          <w:tcPr>
            <w:tcW w:w="2456" w:type="dxa"/>
          </w:tcPr>
          <w:p w14:paraId="1785C88C" w14:textId="77777777" w:rsidR="00F712AA" w:rsidRDefault="00F712AA" w:rsidP="00F712AA">
            <w:pPr>
              <w:spacing w:after="0" w:line="240" w:lineRule="auto"/>
              <w:ind w:right="49"/>
            </w:pPr>
            <w:r w:rsidRPr="00276643">
              <w:t>H5 Rejected</w:t>
            </w:r>
          </w:p>
        </w:tc>
      </w:tr>
    </w:tbl>
    <w:p w14:paraId="6B82AB69" w14:textId="718367AA" w:rsidR="00F712AA" w:rsidRDefault="00F712AA" w:rsidP="00F712AA">
      <w:pPr>
        <w:pStyle w:val="BodyText"/>
        <w:spacing w:after="0" w:line="240" w:lineRule="auto"/>
        <w:ind w:right="49"/>
        <w:rPr>
          <w:bCs/>
        </w:rPr>
      </w:pPr>
      <w:r>
        <w:rPr>
          <w:bCs/>
        </w:rPr>
        <w:t xml:space="preserve">       </w:t>
      </w:r>
      <w:r>
        <w:rPr>
          <w:bCs/>
        </w:rPr>
        <w:tab/>
      </w:r>
      <w:r>
        <w:rPr>
          <w:bCs/>
        </w:rPr>
        <w:tab/>
      </w:r>
      <w:r w:rsidRPr="00EE5286">
        <w:rPr>
          <w:bCs/>
        </w:rPr>
        <w:t>Sour</w:t>
      </w:r>
      <w:r>
        <w:rPr>
          <w:bCs/>
        </w:rPr>
        <w:t>ce: Data Analysis Results, 2024</w:t>
      </w:r>
    </w:p>
    <w:p w14:paraId="6C67F84B" w14:textId="77777777" w:rsidR="00F712AA" w:rsidRPr="00590503" w:rsidRDefault="00F712AA" w:rsidP="00F712AA">
      <w:pPr>
        <w:pStyle w:val="BodyText"/>
        <w:spacing w:after="0" w:line="240" w:lineRule="auto"/>
        <w:ind w:right="49"/>
        <w:rPr>
          <w:bCs/>
        </w:rPr>
      </w:pPr>
    </w:p>
    <w:p w14:paraId="0EF6D210" w14:textId="77777777" w:rsidR="00F712AA" w:rsidRPr="00235034" w:rsidRDefault="00F712AA" w:rsidP="00F712AA">
      <w:pPr>
        <w:pStyle w:val="BodyText"/>
        <w:spacing w:after="0" w:line="360" w:lineRule="auto"/>
        <w:ind w:right="49"/>
        <w:rPr>
          <w:b/>
        </w:rPr>
      </w:pPr>
      <w:r w:rsidRPr="00235034">
        <w:rPr>
          <w:b/>
        </w:rPr>
        <w:t>Complexity of Company Operations (KOP)</w:t>
      </w:r>
    </w:p>
    <w:p w14:paraId="2DE55E0B" w14:textId="77777777" w:rsidR="00F712AA" w:rsidRPr="00A74C07" w:rsidRDefault="00F712AA" w:rsidP="00F712AA">
      <w:pPr>
        <w:pStyle w:val="BodyText"/>
        <w:spacing w:after="0" w:line="360" w:lineRule="auto"/>
        <w:ind w:right="49" w:firstLine="708"/>
        <w:rPr>
          <w:bCs/>
        </w:rPr>
      </w:pPr>
      <w:r w:rsidRPr="00A74C07">
        <w:rPr>
          <w:bCs/>
        </w:rPr>
        <w:t>According to Table 10, the results from the partial test (T-test) indicate that the KOP variable has a significance value of 0.045, which is below the 0.05 threshold (5%). Thus, it can be concluded that H1 is supported, demonstrating that the complexity of company operations affects audit delay.</w:t>
      </w:r>
    </w:p>
    <w:p w14:paraId="5355A89B" w14:textId="77777777" w:rsidR="00F712AA" w:rsidRPr="00A74C07" w:rsidRDefault="00F712AA" w:rsidP="00F712AA">
      <w:pPr>
        <w:pStyle w:val="BodyText"/>
        <w:spacing w:after="0" w:line="360" w:lineRule="auto"/>
        <w:ind w:right="49" w:firstLine="708"/>
        <w:rPr>
          <w:bCs/>
        </w:rPr>
      </w:pPr>
      <w:r w:rsidRPr="00A74C07">
        <w:rPr>
          <w:bCs/>
        </w:rPr>
        <w:t>For the ROA variable, the significance value is 0.087. Since a significance level of 0.1 (10%) has been established for this variable, we can accept H2 as the significance value is below this level. This suggests that profitability influences audit delay.</w:t>
      </w:r>
    </w:p>
    <w:p w14:paraId="18322FA2" w14:textId="77777777" w:rsidR="00F712AA" w:rsidRPr="00A74C07" w:rsidRDefault="00F712AA" w:rsidP="00F712AA">
      <w:pPr>
        <w:pStyle w:val="BodyText"/>
        <w:spacing w:after="0" w:line="360" w:lineRule="auto"/>
        <w:ind w:right="49" w:firstLine="708"/>
        <w:rPr>
          <w:bCs/>
        </w:rPr>
      </w:pPr>
      <w:r w:rsidRPr="00A74C07">
        <w:rPr>
          <w:bCs/>
        </w:rPr>
        <w:t>In the case of the DER variable, the significance value is 0.459, exceeding the 0.05 threshold (5%). Therefore, H3 is not supported, indicating that solvency does not impact audit delay.</w:t>
      </w:r>
    </w:p>
    <w:p w14:paraId="585A0DDA" w14:textId="77777777" w:rsidR="00F712AA" w:rsidRPr="00A74C07" w:rsidRDefault="00F712AA" w:rsidP="00F712AA">
      <w:pPr>
        <w:pStyle w:val="BodyText"/>
        <w:spacing w:after="0" w:line="360" w:lineRule="auto"/>
        <w:ind w:right="49" w:firstLine="708"/>
        <w:rPr>
          <w:bCs/>
        </w:rPr>
      </w:pPr>
      <w:r w:rsidRPr="00A74C07">
        <w:rPr>
          <w:bCs/>
        </w:rPr>
        <w:t>The AT variable has a significance value of 0.845, which is also above 0.05 (5%). Thus, H4 is rejected, suggesting that audit tenure does not influence audit delay.</w:t>
      </w:r>
    </w:p>
    <w:p w14:paraId="11D24049" w14:textId="77777777" w:rsidR="00F712AA" w:rsidRPr="00A64D6F" w:rsidRDefault="00F712AA" w:rsidP="00F712AA">
      <w:pPr>
        <w:pStyle w:val="BodyText"/>
        <w:spacing w:after="0" w:line="360" w:lineRule="auto"/>
        <w:ind w:right="49" w:firstLine="708"/>
        <w:rPr>
          <w:bCs/>
        </w:rPr>
      </w:pPr>
      <w:r w:rsidRPr="00A74C07">
        <w:rPr>
          <w:bCs/>
        </w:rPr>
        <w:t>Lastly, the FD variable shows a significance value of 0.908, again higher than 0.05 (5%). As a result, H5 is rejected, indicating that financial distr</w:t>
      </w:r>
      <w:r>
        <w:rPr>
          <w:bCs/>
        </w:rPr>
        <w:t>ess does not affect audit delay</w:t>
      </w:r>
      <w:r w:rsidRPr="00A64D6F">
        <w:rPr>
          <w:bCs/>
        </w:rPr>
        <w:t>.</w:t>
      </w:r>
    </w:p>
    <w:p w14:paraId="49F8ED10" w14:textId="77777777" w:rsidR="00F712AA" w:rsidRPr="00235034" w:rsidRDefault="00F712AA" w:rsidP="00F712AA">
      <w:pPr>
        <w:pStyle w:val="BodyText"/>
        <w:spacing w:after="0" w:line="360" w:lineRule="auto"/>
        <w:ind w:right="49"/>
        <w:rPr>
          <w:b/>
        </w:rPr>
      </w:pPr>
      <w:r w:rsidRPr="00235034">
        <w:rPr>
          <w:b/>
        </w:rPr>
        <w:t>The Impact of Company Operational Complexity on Audit Delay</w:t>
      </w:r>
    </w:p>
    <w:p w14:paraId="6DAB4FA8" w14:textId="77777777" w:rsidR="00F712AA" w:rsidRPr="00B41137" w:rsidRDefault="00F712AA" w:rsidP="00F712AA">
      <w:pPr>
        <w:pStyle w:val="BodyText"/>
        <w:spacing w:after="0" w:line="360" w:lineRule="auto"/>
        <w:ind w:right="49" w:firstLine="708"/>
        <w:rPr>
          <w:bCs/>
        </w:rPr>
      </w:pPr>
      <w:r w:rsidRPr="003E170F">
        <w:rPr>
          <w:bCs/>
        </w:rPr>
        <w:t xml:space="preserve">The findings of this study reveal that operational complexity negatively influences audit delay, suggesting that increased complexity often corresponds to more structured and efficient management systems. In highly complex firms, particularly those with multiple subsidiaries, auditors benefit from transparent and organized processes, which expedite the evaluation and auditing procedures. These results align with the conclusions of </w:t>
      </w:r>
      <w:proofErr w:type="spellStart"/>
      <w:r w:rsidRPr="003E170F">
        <w:rPr>
          <w:bCs/>
        </w:rPr>
        <w:t>Muna</w:t>
      </w:r>
      <w:proofErr w:type="spellEnd"/>
      <w:r w:rsidRPr="003E170F">
        <w:rPr>
          <w:bCs/>
        </w:rPr>
        <w:t xml:space="preserve"> and </w:t>
      </w:r>
      <w:proofErr w:type="spellStart"/>
      <w:r w:rsidRPr="003E170F">
        <w:rPr>
          <w:bCs/>
        </w:rPr>
        <w:t>Lisiantara</w:t>
      </w:r>
      <w:proofErr w:type="spellEnd"/>
      <w:r w:rsidRPr="003E170F">
        <w:rPr>
          <w:bCs/>
        </w:rPr>
        <w:t xml:space="preserve"> (2021), who assert that operational complexity impacts audit delay. The findings emphasize that in contexts like Indonesia's mining industry, operational complexity may drive firms to adopt advanced management systems that inherently streamline audits. This reinforces the theoretical implication that enhanced operational frameworks contribute to reduced audit times, supporting aspects of agency theory, where efficient systems mitigate agency conflicts</w:t>
      </w:r>
      <w:r w:rsidRPr="00B41137">
        <w:rPr>
          <w:bCs/>
        </w:rPr>
        <w:t>.</w:t>
      </w:r>
    </w:p>
    <w:p w14:paraId="6A6C47CE" w14:textId="77777777" w:rsidR="00F712AA" w:rsidRDefault="00F712AA" w:rsidP="00F712AA">
      <w:pPr>
        <w:pStyle w:val="BodyText"/>
        <w:spacing w:after="0" w:line="360" w:lineRule="auto"/>
        <w:ind w:right="49"/>
        <w:rPr>
          <w:b/>
        </w:rPr>
      </w:pPr>
    </w:p>
    <w:p w14:paraId="601BDFDB" w14:textId="57DD9364" w:rsidR="00F712AA" w:rsidRPr="00235034" w:rsidRDefault="00F712AA" w:rsidP="00F712AA">
      <w:pPr>
        <w:pStyle w:val="BodyText"/>
        <w:spacing w:after="0" w:line="360" w:lineRule="auto"/>
        <w:ind w:right="49"/>
        <w:rPr>
          <w:b/>
        </w:rPr>
      </w:pPr>
      <w:r w:rsidRPr="00235034">
        <w:rPr>
          <w:b/>
        </w:rPr>
        <w:lastRenderedPageBreak/>
        <w:t>The Impact of Profitability on Audit Delay</w:t>
      </w:r>
    </w:p>
    <w:p w14:paraId="2867D044" w14:textId="77777777" w:rsidR="00F712AA" w:rsidRPr="00B41137" w:rsidRDefault="00F712AA" w:rsidP="00F712AA">
      <w:pPr>
        <w:pStyle w:val="BodyText"/>
        <w:spacing w:after="0" w:line="360" w:lineRule="auto"/>
        <w:ind w:right="49" w:firstLine="708"/>
        <w:rPr>
          <w:bCs/>
        </w:rPr>
      </w:pPr>
      <w:r w:rsidRPr="003E170F">
        <w:rPr>
          <w:bCs/>
        </w:rPr>
        <w:t xml:space="preserve">Profitability also demonstrates an inverse relationship with audit delay. Companies with higher profitability tend to encounter fewer audit delays, likely due to better financial resources, effective management practices, and a desire to signal strong performance through timely audits. These results corroborate </w:t>
      </w:r>
      <w:proofErr w:type="spellStart"/>
      <w:r w:rsidRPr="003E170F">
        <w:rPr>
          <w:bCs/>
        </w:rPr>
        <w:t>Kristanti</w:t>
      </w:r>
      <w:proofErr w:type="spellEnd"/>
      <w:r w:rsidRPr="003E170F">
        <w:rPr>
          <w:bCs/>
        </w:rPr>
        <w:t xml:space="preserve"> and </w:t>
      </w:r>
      <w:proofErr w:type="spellStart"/>
      <w:r w:rsidRPr="003E170F">
        <w:rPr>
          <w:bCs/>
        </w:rPr>
        <w:t>Mulya</w:t>
      </w:r>
      <w:proofErr w:type="spellEnd"/>
      <w:r w:rsidRPr="003E170F">
        <w:rPr>
          <w:bCs/>
        </w:rPr>
        <w:t xml:space="preserve"> (2021), who similarly found profitability to influence audit delay. The theoretical underpinning here connects to signaling theory, as firms may use expedited audits to project credibility and attract investors. Mining companies, in particular, could leverage their profitability to invest in systems that accelerate audit processes, thus reinforcing financial </w:t>
      </w:r>
      <w:r>
        <w:rPr>
          <w:bCs/>
        </w:rPr>
        <w:t>transparency</w:t>
      </w:r>
      <w:r w:rsidRPr="00B41137">
        <w:rPr>
          <w:bCs/>
        </w:rPr>
        <w:t>.</w:t>
      </w:r>
    </w:p>
    <w:p w14:paraId="31AD9646" w14:textId="77777777" w:rsidR="00F712AA" w:rsidRPr="00235034" w:rsidRDefault="00F712AA" w:rsidP="00F712AA">
      <w:pPr>
        <w:pStyle w:val="BodyText"/>
        <w:spacing w:after="0" w:line="360" w:lineRule="auto"/>
        <w:ind w:right="49"/>
        <w:rPr>
          <w:b/>
        </w:rPr>
      </w:pPr>
      <w:r w:rsidRPr="00235034">
        <w:rPr>
          <w:b/>
        </w:rPr>
        <w:t>The Impact of Solvency on Audit Delay</w:t>
      </w:r>
    </w:p>
    <w:p w14:paraId="6B6ABF8A" w14:textId="77777777" w:rsidR="00F712AA" w:rsidRPr="00B41137" w:rsidRDefault="00F712AA" w:rsidP="00F712AA">
      <w:pPr>
        <w:pStyle w:val="BodyText"/>
        <w:spacing w:after="0" w:line="360" w:lineRule="auto"/>
        <w:ind w:right="49" w:firstLine="708"/>
        <w:rPr>
          <w:bCs/>
        </w:rPr>
      </w:pPr>
      <w:r w:rsidRPr="003E170F">
        <w:rPr>
          <w:bCs/>
        </w:rPr>
        <w:t xml:space="preserve">Contrary to expectations and prior findings by </w:t>
      </w:r>
      <w:proofErr w:type="spellStart"/>
      <w:r w:rsidRPr="003E170F">
        <w:rPr>
          <w:bCs/>
        </w:rPr>
        <w:t>Septi</w:t>
      </w:r>
      <w:proofErr w:type="spellEnd"/>
      <w:r w:rsidRPr="003E170F">
        <w:rPr>
          <w:bCs/>
        </w:rPr>
        <w:t xml:space="preserve"> and </w:t>
      </w:r>
      <w:proofErr w:type="spellStart"/>
      <w:r w:rsidRPr="003E170F">
        <w:rPr>
          <w:bCs/>
        </w:rPr>
        <w:t>Suyatmin</w:t>
      </w:r>
      <w:proofErr w:type="spellEnd"/>
      <w:r w:rsidRPr="003E170F">
        <w:rPr>
          <w:bCs/>
        </w:rPr>
        <w:t xml:space="preserve"> (2024), this study concludes that solvency does not influence audit delay. Although solvency reflects a firm's financial stability, it appears that this characteristic does not directly translate into audit efficiency. One explanation could be the unique regulatory and operational characteristics of the Indonesian mining sector, where other factors, such as stringent reporting standards or the complexity of financial disclosures, may outweigh solvency’s role in determining audit timelines. Future research could delve deeper into these contextual nuances, as well as explore how the industry-specific dynamics or external pressures ma</w:t>
      </w:r>
      <w:r>
        <w:rPr>
          <w:bCs/>
        </w:rPr>
        <w:t>y neutralize solvency's effects</w:t>
      </w:r>
      <w:r w:rsidRPr="00B41137">
        <w:rPr>
          <w:bCs/>
        </w:rPr>
        <w:t>.</w:t>
      </w:r>
    </w:p>
    <w:p w14:paraId="7942EF3D" w14:textId="77777777" w:rsidR="00F712AA" w:rsidRPr="00235034" w:rsidRDefault="00F712AA" w:rsidP="00F712AA">
      <w:pPr>
        <w:pStyle w:val="BodyText"/>
        <w:spacing w:after="0" w:line="360" w:lineRule="auto"/>
        <w:ind w:right="49"/>
        <w:rPr>
          <w:b/>
        </w:rPr>
      </w:pPr>
      <w:r w:rsidRPr="00235034">
        <w:rPr>
          <w:b/>
        </w:rPr>
        <w:t>The Influence of Audit Tenure on Audit Delay</w:t>
      </w:r>
    </w:p>
    <w:p w14:paraId="17E0FCC3" w14:textId="77777777" w:rsidR="00F712AA" w:rsidRPr="00B41137" w:rsidRDefault="00F712AA" w:rsidP="00F712AA">
      <w:pPr>
        <w:pStyle w:val="BodyText"/>
        <w:spacing w:after="0" w:line="360" w:lineRule="auto"/>
        <w:ind w:right="49" w:firstLine="708"/>
        <w:rPr>
          <w:bCs/>
        </w:rPr>
      </w:pPr>
      <w:r w:rsidRPr="003E170F">
        <w:rPr>
          <w:bCs/>
        </w:rPr>
        <w:t>Similarly, audit tenure does not appear to influence audit delay. This finding diverges from the conclusions of Elena et al. (2024), which posit that longer auditor-client relationships lead to more efficient audits. While familiarity with a client’s processes might be expected to reduce delays, the complexity of financial statements in mining firms may present challenges that persist regardless of tenure. Moreover, prolonged relationships could introduce complacency, reducing the urgency auditors place on completing the audit promptly. These findings underscore the need for auditors to maintain professional skepticism and adaptabi</w:t>
      </w:r>
      <w:r>
        <w:rPr>
          <w:bCs/>
        </w:rPr>
        <w:t>lity regardless of their tenure</w:t>
      </w:r>
      <w:r w:rsidRPr="00A65294">
        <w:rPr>
          <w:bCs/>
        </w:rPr>
        <w:t>.</w:t>
      </w:r>
    </w:p>
    <w:p w14:paraId="731D0F1B" w14:textId="77777777" w:rsidR="00F712AA" w:rsidRDefault="00F712AA" w:rsidP="00F712AA">
      <w:pPr>
        <w:pStyle w:val="BodyText"/>
        <w:spacing w:after="0" w:line="360" w:lineRule="auto"/>
        <w:ind w:right="49"/>
        <w:rPr>
          <w:b/>
        </w:rPr>
      </w:pPr>
    </w:p>
    <w:p w14:paraId="7F660259" w14:textId="77777777" w:rsidR="00F712AA" w:rsidRDefault="00F712AA" w:rsidP="00F712AA">
      <w:pPr>
        <w:pStyle w:val="BodyText"/>
        <w:spacing w:after="0" w:line="360" w:lineRule="auto"/>
        <w:ind w:right="49"/>
        <w:rPr>
          <w:b/>
        </w:rPr>
      </w:pPr>
    </w:p>
    <w:p w14:paraId="2D4D7339" w14:textId="3CD9823C" w:rsidR="00F712AA" w:rsidRPr="00235034" w:rsidRDefault="00F712AA" w:rsidP="00F712AA">
      <w:pPr>
        <w:pStyle w:val="BodyText"/>
        <w:spacing w:after="0" w:line="360" w:lineRule="auto"/>
        <w:ind w:right="49"/>
        <w:rPr>
          <w:b/>
        </w:rPr>
      </w:pPr>
      <w:r w:rsidRPr="00235034">
        <w:rPr>
          <w:b/>
        </w:rPr>
        <w:lastRenderedPageBreak/>
        <w:t>The Effect of Financial Distress on Audit Delay</w:t>
      </w:r>
    </w:p>
    <w:p w14:paraId="0F4A15E5" w14:textId="77777777" w:rsidR="00F712AA" w:rsidRDefault="00F712AA" w:rsidP="00F712AA">
      <w:pPr>
        <w:pStyle w:val="BodyText"/>
        <w:spacing w:after="0" w:line="360" w:lineRule="auto"/>
        <w:ind w:right="49" w:firstLine="708"/>
        <w:rPr>
          <w:bCs/>
        </w:rPr>
      </w:pPr>
      <w:r w:rsidRPr="003E170F">
        <w:rPr>
          <w:bCs/>
        </w:rPr>
        <w:t xml:space="preserve">The results also indicate that financial distress does not significantly impact audit delay. This finding contradicts </w:t>
      </w:r>
      <w:proofErr w:type="spellStart"/>
      <w:r w:rsidRPr="003E170F">
        <w:rPr>
          <w:bCs/>
        </w:rPr>
        <w:t>Sylvi</w:t>
      </w:r>
      <w:proofErr w:type="spellEnd"/>
      <w:r w:rsidRPr="003E170F">
        <w:rPr>
          <w:bCs/>
        </w:rPr>
        <w:t xml:space="preserve"> and </w:t>
      </w:r>
      <w:proofErr w:type="spellStart"/>
      <w:r w:rsidRPr="003E170F">
        <w:rPr>
          <w:bCs/>
        </w:rPr>
        <w:t>Mawardi</w:t>
      </w:r>
      <w:proofErr w:type="spellEnd"/>
      <w:r w:rsidRPr="003E170F">
        <w:rPr>
          <w:bCs/>
        </w:rPr>
        <w:t xml:space="preserve"> (2021), who suggested that financial distress leads to longer audits. Companies experiencing financial distress may implement stricter internal controls to navigate their challenges, which could offset potential delays in providing financial information to auditors. The Indonesian mining industry may also exhibit characteristics that mitigate the anticipated effects of financial distress on audit efficiency, such as rigorous regulatory oversight or institutional practices that standardize reporting even under adverse conditions. This observation suggests that while financial distress might theoretically complicate audits, practical mechanisms within specific indust</w:t>
      </w:r>
      <w:r>
        <w:rPr>
          <w:bCs/>
        </w:rPr>
        <w:t>ries could reduce its influence.</w:t>
      </w:r>
    </w:p>
    <w:p w14:paraId="2836B0E8" w14:textId="77777777" w:rsidR="00F712AA" w:rsidRPr="00235034" w:rsidRDefault="00F712AA" w:rsidP="00F712AA">
      <w:pPr>
        <w:pStyle w:val="BodyText"/>
        <w:spacing w:after="0" w:line="360" w:lineRule="auto"/>
        <w:ind w:right="49"/>
        <w:rPr>
          <w:b/>
        </w:rPr>
      </w:pPr>
      <w:r w:rsidRPr="00235034">
        <w:rPr>
          <w:b/>
        </w:rPr>
        <w:t>Theoretical and Practical Implications</w:t>
      </w:r>
    </w:p>
    <w:p w14:paraId="552D8F65" w14:textId="77777777" w:rsidR="00F712AA" w:rsidRPr="003E170F" w:rsidRDefault="00F712AA" w:rsidP="00F712AA">
      <w:pPr>
        <w:pStyle w:val="BodyText"/>
        <w:spacing w:after="0" w:line="360" w:lineRule="auto"/>
        <w:ind w:right="49" w:firstLine="708"/>
        <w:rPr>
          <w:bCs/>
        </w:rPr>
      </w:pPr>
      <w:r w:rsidRPr="003E170F">
        <w:rPr>
          <w:bCs/>
        </w:rPr>
        <w:t>Theoretically, the results highlight the nuanced relationships between operational complexity, profitability, and audit efficiency. These findings contribute to agency theory by showing how structured management systems in complex operations can reduce agency costs and streamline audits. Similarly, the role of profitability aligns with signaling theory, where timely audits serve as a mechanism for firms to convey financial health and operational excellence.</w:t>
      </w:r>
    </w:p>
    <w:p w14:paraId="4FE2EABC" w14:textId="77777777" w:rsidR="00F712AA" w:rsidRPr="003E170F" w:rsidRDefault="00F712AA" w:rsidP="00F712AA">
      <w:pPr>
        <w:pStyle w:val="BodyText"/>
        <w:spacing w:after="0" w:line="360" w:lineRule="auto"/>
        <w:ind w:right="49" w:firstLine="708"/>
        <w:rPr>
          <w:bCs/>
        </w:rPr>
      </w:pPr>
      <w:r w:rsidRPr="003E170F">
        <w:rPr>
          <w:bCs/>
        </w:rPr>
        <w:t>From a practical perspective, mining companies can minimize audit delays by investing in robust management systems that enhance operational transparency and efficiency. For auditors, a focus on understanding the intricate dynamics of highly profitable and operationally complex firms can improve audit timelines. Regulators could encourage the adoption of best practices in reporting standards to further streamline audits across the industry.</w:t>
      </w:r>
    </w:p>
    <w:p w14:paraId="4F540E5B" w14:textId="77777777" w:rsidR="00F712AA" w:rsidRPr="003E170F" w:rsidRDefault="00F712AA" w:rsidP="00F712AA">
      <w:pPr>
        <w:pStyle w:val="BodyText"/>
        <w:spacing w:after="0" w:line="360" w:lineRule="auto"/>
        <w:ind w:right="49" w:firstLine="708"/>
        <w:rPr>
          <w:bCs/>
        </w:rPr>
      </w:pPr>
      <w:r w:rsidRPr="003E170F">
        <w:rPr>
          <w:bCs/>
        </w:rPr>
        <w:t>In summary, this study concludes that operational complexity and profitability reduce audit delays, while solvency, audit tenure, and financial distress do not significantly impact the audit process. These findings provide valuable insights for both academics and practitioners, highlighting the need for context-specific analyses and emphasizing the importance of efficient management and transparent systems in minimizing audit delays.</w:t>
      </w:r>
    </w:p>
    <w:p w14:paraId="14AB747A" w14:textId="77777777" w:rsidR="00FF6CDE" w:rsidRPr="00CE6327" w:rsidRDefault="00FF6CDE" w:rsidP="00FF6CDE">
      <w:pPr>
        <w:pStyle w:val="BodyText"/>
        <w:spacing w:after="0" w:line="240" w:lineRule="auto"/>
        <w:ind w:right="49"/>
        <w:rPr>
          <w:rFonts w:asciiTheme="majorBidi" w:hAnsiTheme="majorBidi" w:cstheme="majorBidi"/>
          <w:iCs/>
          <w:szCs w:val="24"/>
          <w:lang w:val="en-ID"/>
        </w:rPr>
      </w:pPr>
    </w:p>
    <w:p w14:paraId="30F0316F" w14:textId="40E6AEF9" w:rsidR="00EF6B5D" w:rsidRPr="00234F61" w:rsidRDefault="00EF6B5D" w:rsidP="00234F61">
      <w:pPr>
        <w:pStyle w:val="BodyText"/>
        <w:spacing w:after="0" w:line="360" w:lineRule="auto"/>
        <w:ind w:right="49"/>
        <w:rPr>
          <w:rFonts w:cs="Times New Roman"/>
          <w:bCs/>
          <w:szCs w:val="24"/>
        </w:rPr>
      </w:pPr>
      <w:r w:rsidRPr="00EB49C5">
        <w:rPr>
          <w:rFonts w:asciiTheme="majorBidi" w:hAnsiTheme="majorBidi" w:cstheme="majorBidi"/>
          <w:b/>
          <w:bCs/>
          <w:iCs/>
          <w:szCs w:val="24"/>
          <w:lang w:val="en-ID"/>
        </w:rPr>
        <w:lastRenderedPageBreak/>
        <w:t>CONCLUSION</w:t>
      </w:r>
    </w:p>
    <w:p w14:paraId="2F7E5B4F" w14:textId="77777777" w:rsidR="00F712AA" w:rsidRPr="00DF51B5" w:rsidRDefault="00F712AA" w:rsidP="00F712AA">
      <w:pPr>
        <w:pStyle w:val="BodyText"/>
        <w:spacing w:after="0" w:line="360" w:lineRule="auto"/>
        <w:ind w:right="49" w:firstLine="708"/>
        <w:rPr>
          <w:bCs/>
        </w:rPr>
      </w:pPr>
      <w:r w:rsidRPr="00C639E9">
        <w:rPr>
          <w:bCs/>
        </w:rPr>
        <w:t>The results of the study suggest that audit delays are adversely affected by the operational complexity and profitability of the company, whereas factors such as solvency, audit tenure, and financial distress do not significantly influence the delay in audits.</w:t>
      </w:r>
      <w:r w:rsidRPr="00834A1B">
        <w:rPr>
          <w:bCs/>
        </w:rPr>
        <w:t xml:space="preserve"> These findings highlight the importance for companies to manage operational complexity and enhance profitability </w:t>
      </w:r>
      <w:r>
        <w:rPr>
          <w:bCs/>
        </w:rPr>
        <w:t xml:space="preserve">to expedite the audit process. </w:t>
      </w:r>
      <w:r w:rsidRPr="00C639E9">
        <w:rPr>
          <w:bCs/>
        </w:rPr>
        <w:t>This study has several limitations, such as its concentration on mining firms listed on the Indonesia Stock Exchange from 2019 to 2021, and the application of the Altman Z-Score method for assessing financial distress, which may not be the most suitable approach for Indonesia's mining industry.</w:t>
      </w:r>
      <w:r w:rsidRPr="00834A1B">
        <w:rPr>
          <w:bCs/>
        </w:rPr>
        <w:t xml:space="preserve"> It is recommended that companies improve the efficiency of their information systems and internal control practices. Future research should explore other factors influencing audit delay across various sect</w:t>
      </w:r>
      <w:r>
        <w:rPr>
          <w:bCs/>
        </w:rPr>
        <w:t>ors</w:t>
      </w:r>
      <w:r w:rsidRPr="00DF51B5">
        <w:rPr>
          <w:bCs/>
        </w:rPr>
        <w:t>.</w:t>
      </w:r>
    </w:p>
    <w:p w14:paraId="3A941B6B" w14:textId="77777777" w:rsidR="006A6601" w:rsidRPr="00F712AA" w:rsidRDefault="006A6601" w:rsidP="006A6601">
      <w:pPr>
        <w:autoSpaceDE w:val="0"/>
        <w:autoSpaceDN w:val="0"/>
        <w:adjustRightInd w:val="0"/>
        <w:spacing w:after="0" w:line="240" w:lineRule="auto"/>
        <w:ind w:firstLine="720"/>
        <w:rPr>
          <w:b/>
          <w:bCs/>
          <w:color w:val="000000"/>
          <w:szCs w:val="24"/>
        </w:rPr>
      </w:pPr>
    </w:p>
    <w:p w14:paraId="178D986C" w14:textId="6FF2776A" w:rsidR="00C10D0A" w:rsidRDefault="00EF6B5D" w:rsidP="009639BD">
      <w:pPr>
        <w:widowControl w:val="0"/>
        <w:autoSpaceDE w:val="0"/>
        <w:autoSpaceDN w:val="0"/>
        <w:adjustRightInd w:val="0"/>
        <w:spacing w:after="0" w:line="360" w:lineRule="auto"/>
        <w:rPr>
          <w:rFonts w:asciiTheme="majorBidi" w:hAnsiTheme="majorBidi" w:cstheme="majorBidi"/>
          <w:b/>
          <w:bCs/>
          <w:szCs w:val="24"/>
        </w:rPr>
      </w:pPr>
      <w:r w:rsidRPr="00EB49C5">
        <w:rPr>
          <w:rFonts w:asciiTheme="majorBidi" w:hAnsiTheme="majorBidi" w:cstheme="majorBidi"/>
          <w:b/>
          <w:bCs/>
          <w:szCs w:val="24"/>
        </w:rPr>
        <w:t>REFERENCES</w:t>
      </w:r>
    </w:p>
    <w:p w14:paraId="24D550C0" w14:textId="77777777" w:rsidR="00F712AA" w:rsidRPr="00B41137" w:rsidRDefault="00F712AA" w:rsidP="00D15E2C">
      <w:pPr>
        <w:pStyle w:val="BodyText"/>
        <w:spacing w:after="180" w:line="240" w:lineRule="auto"/>
        <w:ind w:left="720" w:hanging="720"/>
        <w:rPr>
          <w:lang w:val="en-ID"/>
        </w:rPr>
      </w:pPr>
      <w:r w:rsidRPr="005302B6">
        <w:fldChar w:fldCharType="begin" w:fldLock="1"/>
      </w:r>
      <w:r w:rsidRPr="005302B6">
        <w:instrText xml:space="preserve">ADDIN Mendeley Bibliography CSL_BIBLIOGRAPHY </w:instrText>
      </w:r>
      <w:r w:rsidRPr="005302B6">
        <w:fldChar w:fldCharType="separate"/>
      </w:r>
      <w:r w:rsidRPr="00B41137">
        <w:t xml:space="preserve"> </w:t>
      </w:r>
      <w:r w:rsidRPr="00B41137">
        <w:rPr>
          <w:lang w:val="en-ID"/>
        </w:rPr>
        <w:t xml:space="preserve">Al </w:t>
      </w:r>
      <w:proofErr w:type="spellStart"/>
      <w:r w:rsidRPr="00B41137">
        <w:rPr>
          <w:lang w:val="en-ID"/>
        </w:rPr>
        <w:t>Ambia</w:t>
      </w:r>
      <w:proofErr w:type="spellEnd"/>
      <w:r w:rsidRPr="00B41137">
        <w:rPr>
          <w:lang w:val="en-ID"/>
        </w:rPr>
        <w:t xml:space="preserve">, H., &amp; Hernando, R. (2022). </w:t>
      </w:r>
      <w:proofErr w:type="spellStart"/>
      <w:r w:rsidRPr="00B41137">
        <w:rPr>
          <w:lang w:val="en-ID"/>
        </w:rPr>
        <w:t>Pengaruh</w:t>
      </w:r>
      <w:proofErr w:type="spellEnd"/>
      <w:r w:rsidRPr="00B41137">
        <w:rPr>
          <w:lang w:val="en-ID"/>
        </w:rPr>
        <w:t xml:space="preserve"> Audit Tenure, </w:t>
      </w:r>
      <w:proofErr w:type="spellStart"/>
      <w:r w:rsidRPr="00B41137">
        <w:rPr>
          <w:lang w:val="en-ID"/>
        </w:rPr>
        <w:t>Kompleksitas</w:t>
      </w:r>
      <w:proofErr w:type="spellEnd"/>
      <w:r w:rsidRPr="00B41137">
        <w:rPr>
          <w:lang w:val="en-ID"/>
        </w:rPr>
        <w:t xml:space="preserve"> </w:t>
      </w:r>
      <w:proofErr w:type="spellStart"/>
      <w:r w:rsidRPr="00B41137">
        <w:rPr>
          <w:lang w:val="en-ID"/>
        </w:rPr>
        <w:t>Operasi</w:t>
      </w:r>
      <w:proofErr w:type="spellEnd"/>
      <w:r w:rsidRPr="00B41137">
        <w:rPr>
          <w:lang w:val="en-ID"/>
        </w:rPr>
        <w:t xml:space="preserve">, </w:t>
      </w:r>
      <w:proofErr w:type="spellStart"/>
      <w:r w:rsidRPr="00B41137">
        <w:rPr>
          <w:lang w:val="en-ID"/>
        </w:rPr>
        <w:t>Opini</w:t>
      </w:r>
      <w:proofErr w:type="spellEnd"/>
      <w:r w:rsidRPr="00B41137">
        <w:rPr>
          <w:lang w:val="en-ID"/>
        </w:rPr>
        <w:t xml:space="preserve"> Audit Dan </w:t>
      </w:r>
      <w:proofErr w:type="spellStart"/>
      <w:r w:rsidRPr="00B41137">
        <w:rPr>
          <w:lang w:val="en-ID"/>
        </w:rPr>
        <w:t>Ukuran</w:t>
      </w:r>
      <w:proofErr w:type="spellEnd"/>
      <w:r w:rsidRPr="00B41137">
        <w:rPr>
          <w:lang w:val="en-ID"/>
        </w:rPr>
        <w:t xml:space="preserve"> Kantor </w:t>
      </w:r>
      <w:proofErr w:type="spellStart"/>
      <w:r w:rsidRPr="00B41137">
        <w:rPr>
          <w:lang w:val="en-ID"/>
        </w:rPr>
        <w:t>Akuntan</w:t>
      </w:r>
      <w:proofErr w:type="spellEnd"/>
      <w:r w:rsidRPr="00B41137">
        <w:rPr>
          <w:lang w:val="en-ID"/>
        </w:rPr>
        <w:t xml:space="preserve"> </w:t>
      </w:r>
      <w:proofErr w:type="spellStart"/>
      <w:r w:rsidRPr="00B41137">
        <w:rPr>
          <w:lang w:val="en-ID"/>
        </w:rPr>
        <w:t>Publik</w:t>
      </w:r>
      <w:proofErr w:type="spellEnd"/>
      <w:r w:rsidRPr="00B41137">
        <w:rPr>
          <w:lang w:val="en-ID"/>
        </w:rPr>
        <w:t xml:space="preserve"> (KAP) </w:t>
      </w:r>
      <w:proofErr w:type="spellStart"/>
      <w:r w:rsidRPr="00B41137">
        <w:rPr>
          <w:lang w:val="en-ID"/>
        </w:rPr>
        <w:t>Terhadap</w:t>
      </w:r>
      <w:proofErr w:type="spellEnd"/>
      <w:r w:rsidRPr="00B41137">
        <w:rPr>
          <w:lang w:val="en-ID"/>
        </w:rPr>
        <w:t xml:space="preserve"> Audit Delay. </w:t>
      </w:r>
      <w:proofErr w:type="spellStart"/>
      <w:r w:rsidRPr="00B41137">
        <w:rPr>
          <w:lang w:val="en-ID"/>
        </w:rPr>
        <w:t>Jurnal</w:t>
      </w:r>
      <w:proofErr w:type="spellEnd"/>
      <w:r w:rsidRPr="00B41137">
        <w:rPr>
          <w:lang w:val="en-ID"/>
        </w:rPr>
        <w:t xml:space="preserve"> </w:t>
      </w:r>
      <w:proofErr w:type="spellStart"/>
      <w:r w:rsidRPr="00B41137">
        <w:rPr>
          <w:lang w:val="en-ID"/>
        </w:rPr>
        <w:t>Buana</w:t>
      </w:r>
      <w:proofErr w:type="spellEnd"/>
      <w:r w:rsidRPr="00B41137">
        <w:rPr>
          <w:lang w:val="en-ID"/>
        </w:rPr>
        <w:t xml:space="preserve"> </w:t>
      </w:r>
      <w:proofErr w:type="spellStart"/>
      <w:r w:rsidRPr="00B41137">
        <w:rPr>
          <w:lang w:val="en-ID"/>
        </w:rPr>
        <w:t>Akuntansi</w:t>
      </w:r>
      <w:proofErr w:type="spellEnd"/>
      <w:r w:rsidRPr="00B41137">
        <w:rPr>
          <w:lang w:val="en-ID"/>
        </w:rPr>
        <w:t>, 7(2), 106-121</w:t>
      </w:r>
      <w:r w:rsidRPr="00FC6996">
        <w:rPr>
          <w:sz w:val="22"/>
        </w:rPr>
        <w:t xml:space="preserve"> </w:t>
      </w:r>
      <w:hyperlink r:id="rId11" w:history="1">
        <w:r w:rsidRPr="00FC6996">
          <w:rPr>
            <w:rStyle w:val="Hyperlink"/>
          </w:rPr>
          <w:t>https://doi.org/10.36805/akuntansi.v7i2.2383</w:t>
        </w:r>
      </w:hyperlink>
      <w:r w:rsidRPr="00B41137">
        <w:rPr>
          <w:lang w:val="en-ID"/>
        </w:rPr>
        <w:t>.</w:t>
      </w:r>
    </w:p>
    <w:p w14:paraId="26879990" w14:textId="77777777" w:rsidR="00F712AA" w:rsidRPr="00B41137" w:rsidRDefault="00F712AA" w:rsidP="00D15E2C">
      <w:pPr>
        <w:pStyle w:val="BodyText"/>
        <w:spacing w:after="180" w:line="240" w:lineRule="auto"/>
        <w:ind w:left="720" w:hanging="720"/>
        <w:rPr>
          <w:lang w:val="en-ID"/>
        </w:rPr>
      </w:pPr>
      <w:r w:rsidRPr="00B41137">
        <w:rPr>
          <w:lang w:val="en-ID"/>
        </w:rPr>
        <w:t xml:space="preserve">Altman, E.I. Hotchkiss, E. (2006). Corporate Financial Distress and Bankruptcy: Predict and Avoid Bankruptcy. </w:t>
      </w:r>
      <w:proofErr w:type="spellStart"/>
      <w:r w:rsidRPr="00B41137">
        <w:rPr>
          <w:lang w:val="en-ID"/>
        </w:rPr>
        <w:t>Analyze</w:t>
      </w:r>
      <w:proofErr w:type="spellEnd"/>
      <w:r w:rsidRPr="00B41137">
        <w:rPr>
          <w:lang w:val="en-ID"/>
        </w:rPr>
        <w:t xml:space="preserve"> and Invest in Distress Debt, (Vol.3), John Wiley &amp; Sons, Inc., USA. </w:t>
      </w:r>
      <w:proofErr w:type="gramStart"/>
      <w:r>
        <w:rPr>
          <w:lang w:val="en-ID"/>
        </w:rPr>
        <w:t>DOI :</w:t>
      </w:r>
      <w:proofErr w:type="gramEnd"/>
      <w:r w:rsidRPr="00FC6996">
        <w:rPr>
          <w:sz w:val="22"/>
        </w:rPr>
        <w:t xml:space="preserve"> </w:t>
      </w:r>
      <w:hyperlink r:id="rId12" w:tgtFrame="_blank" w:history="1">
        <w:r w:rsidRPr="00FC6996">
          <w:rPr>
            <w:rStyle w:val="Hyperlink"/>
          </w:rPr>
          <w:t>10.2139/ssrn.2034646</w:t>
        </w:r>
      </w:hyperlink>
      <w:r>
        <w:rPr>
          <w:lang w:val="en-ID"/>
        </w:rPr>
        <w:t xml:space="preserve"> </w:t>
      </w:r>
    </w:p>
    <w:p w14:paraId="3B1AEB8D" w14:textId="77777777" w:rsidR="00F712AA" w:rsidRPr="00B41137" w:rsidRDefault="00F712AA" w:rsidP="00D15E2C">
      <w:pPr>
        <w:pStyle w:val="BodyText"/>
        <w:spacing w:after="180" w:line="240" w:lineRule="auto"/>
        <w:ind w:left="720" w:hanging="720"/>
        <w:rPr>
          <w:lang w:val="en-ID"/>
        </w:rPr>
      </w:pPr>
      <w:r w:rsidRPr="00B41137">
        <w:rPr>
          <w:lang w:val="en-ID"/>
        </w:rPr>
        <w:t xml:space="preserve">Angelia, S., &amp; </w:t>
      </w:r>
      <w:proofErr w:type="spellStart"/>
      <w:r w:rsidRPr="00B41137">
        <w:rPr>
          <w:lang w:val="en-ID"/>
        </w:rPr>
        <w:t>Mawardi</w:t>
      </w:r>
      <w:proofErr w:type="spellEnd"/>
      <w:r w:rsidRPr="00B41137">
        <w:rPr>
          <w:lang w:val="en-ID"/>
        </w:rPr>
        <w:t>, R. (2021). The Impact of Financial Distress, Corporate Governance, and Auditor Switching on Audit Delay. Journal of Finance &amp; Banking Review (JFBR), 6(2)</w:t>
      </w:r>
      <w:r w:rsidRPr="00FC6996">
        <w:rPr>
          <w:rFonts w:ascii="NexusSansWebPro" w:hAnsi="NexusSansWebPro"/>
          <w:i/>
          <w:iCs/>
          <w:color w:val="505050"/>
          <w:sz w:val="22"/>
          <w:shd w:val="clear" w:color="auto" w:fill="FFFFFF"/>
        </w:rPr>
        <w:t xml:space="preserve"> </w:t>
      </w:r>
      <w:r w:rsidRPr="00FC6996">
        <w:rPr>
          <w:iCs/>
        </w:rPr>
        <w:t>https://doi.org/10.35609/jfbr.2021.6.2(4)</w:t>
      </w:r>
      <w:r>
        <w:rPr>
          <w:lang w:val="en-ID"/>
        </w:rPr>
        <w:t xml:space="preserve"> </w:t>
      </w:r>
    </w:p>
    <w:p w14:paraId="12CB4995" w14:textId="77777777" w:rsidR="00F712AA" w:rsidRPr="00B41137" w:rsidRDefault="00F712AA" w:rsidP="00D15E2C">
      <w:pPr>
        <w:pStyle w:val="BodyText"/>
        <w:spacing w:after="180" w:line="240" w:lineRule="auto"/>
        <w:ind w:left="720" w:hanging="720"/>
        <w:rPr>
          <w:lang w:val="en-ID"/>
        </w:rPr>
      </w:pPr>
      <w:proofErr w:type="spellStart"/>
      <w:r w:rsidRPr="00B41137">
        <w:rPr>
          <w:lang w:val="en-ID"/>
        </w:rPr>
        <w:t>Arikunto</w:t>
      </w:r>
      <w:proofErr w:type="spellEnd"/>
      <w:r w:rsidRPr="00B41137">
        <w:rPr>
          <w:lang w:val="en-ID"/>
        </w:rPr>
        <w:t xml:space="preserve">. 2006. </w:t>
      </w:r>
      <w:proofErr w:type="spellStart"/>
      <w:r w:rsidRPr="00B41137">
        <w:rPr>
          <w:lang w:val="en-ID"/>
        </w:rPr>
        <w:t>Prosedur</w:t>
      </w:r>
      <w:proofErr w:type="spellEnd"/>
      <w:r w:rsidRPr="00B41137">
        <w:rPr>
          <w:lang w:val="en-ID"/>
        </w:rPr>
        <w:t xml:space="preserve"> </w:t>
      </w:r>
      <w:proofErr w:type="spellStart"/>
      <w:r w:rsidRPr="00B41137">
        <w:rPr>
          <w:lang w:val="en-ID"/>
        </w:rPr>
        <w:t>Penelitian</w:t>
      </w:r>
      <w:proofErr w:type="spellEnd"/>
      <w:r w:rsidRPr="00B41137">
        <w:rPr>
          <w:lang w:val="en-ID"/>
        </w:rPr>
        <w:t xml:space="preserve"> </w:t>
      </w:r>
      <w:proofErr w:type="spellStart"/>
      <w:r w:rsidRPr="00B41137">
        <w:rPr>
          <w:lang w:val="en-ID"/>
        </w:rPr>
        <w:t>Suatu</w:t>
      </w:r>
      <w:proofErr w:type="spellEnd"/>
      <w:r w:rsidRPr="00B41137">
        <w:rPr>
          <w:lang w:val="en-ID"/>
        </w:rPr>
        <w:t xml:space="preserve"> </w:t>
      </w:r>
      <w:proofErr w:type="spellStart"/>
      <w:r w:rsidRPr="00B41137">
        <w:rPr>
          <w:lang w:val="en-ID"/>
        </w:rPr>
        <w:t>Pendekatan</w:t>
      </w:r>
      <w:proofErr w:type="spellEnd"/>
      <w:r w:rsidRPr="00B41137">
        <w:rPr>
          <w:lang w:val="en-ID"/>
        </w:rPr>
        <w:t xml:space="preserve"> </w:t>
      </w:r>
      <w:proofErr w:type="spellStart"/>
      <w:r w:rsidRPr="00B41137">
        <w:rPr>
          <w:lang w:val="en-ID"/>
        </w:rPr>
        <w:t>Praktek</w:t>
      </w:r>
      <w:proofErr w:type="spellEnd"/>
      <w:r w:rsidRPr="00B41137">
        <w:rPr>
          <w:lang w:val="en-ID"/>
        </w:rPr>
        <w:t xml:space="preserve">. Jakarta: PT. </w:t>
      </w:r>
      <w:proofErr w:type="spellStart"/>
      <w:r w:rsidRPr="00B41137">
        <w:rPr>
          <w:lang w:val="en-ID"/>
        </w:rPr>
        <w:t>Rineka</w:t>
      </w:r>
      <w:proofErr w:type="spellEnd"/>
      <w:r w:rsidRPr="00B41137">
        <w:rPr>
          <w:lang w:val="en-ID"/>
        </w:rPr>
        <w:t xml:space="preserve"> </w:t>
      </w:r>
      <w:proofErr w:type="spellStart"/>
      <w:r w:rsidRPr="00B41137">
        <w:rPr>
          <w:lang w:val="en-ID"/>
        </w:rPr>
        <w:t>Cipta</w:t>
      </w:r>
      <w:proofErr w:type="spellEnd"/>
      <w:r w:rsidRPr="00B41137">
        <w:rPr>
          <w:lang w:val="en-ID"/>
        </w:rPr>
        <w:t>.</w:t>
      </w:r>
      <w:r w:rsidRPr="00B25B3C">
        <w:t xml:space="preserve"> </w:t>
      </w:r>
      <w:r w:rsidRPr="00B25B3C">
        <w:rPr>
          <w:lang w:val="en-ID"/>
        </w:rPr>
        <w:t>https://www.semanticscholar.org/paper/Ar</w:t>
      </w:r>
      <w:r>
        <w:rPr>
          <w:lang w:val="en-ID"/>
        </w:rPr>
        <w:t xml:space="preserve">ikunto%2C-Suharsimi%2C-Prosedur </w:t>
      </w:r>
      <w:r w:rsidRPr="00B25B3C">
        <w:rPr>
          <w:lang w:val="en-ID"/>
        </w:rPr>
        <w:t>Penelitian%3A-suatu-Hell-Root/272cc5eafc1fd9daaba0572ef5fcb5d12da200ce</w:t>
      </w:r>
    </w:p>
    <w:p w14:paraId="1BD285F0" w14:textId="77777777" w:rsidR="00F712AA" w:rsidRPr="00B41137" w:rsidRDefault="00F712AA" w:rsidP="00D15E2C">
      <w:pPr>
        <w:pStyle w:val="BodyText"/>
        <w:spacing w:after="180" w:line="240" w:lineRule="auto"/>
        <w:ind w:left="720" w:hanging="720"/>
        <w:rPr>
          <w:lang w:val="en-ID"/>
        </w:rPr>
      </w:pPr>
      <w:proofErr w:type="spellStart"/>
      <w:r w:rsidRPr="00B41137">
        <w:rPr>
          <w:lang w:val="en-ID"/>
        </w:rPr>
        <w:t>Bahri</w:t>
      </w:r>
      <w:proofErr w:type="spellEnd"/>
      <w:r w:rsidRPr="00B41137">
        <w:rPr>
          <w:lang w:val="en-ID"/>
        </w:rPr>
        <w:t xml:space="preserve">, S., &amp; </w:t>
      </w:r>
      <w:proofErr w:type="spellStart"/>
      <w:r w:rsidRPr="00B41137">
        <w:rPr>
          <w:lang w:val="en-ID"/>
        </w:rPr>
        <w:t>Amnia</w:t>
      </w:r>
      <w:proofErr w:type="spellEnd"/>
      <w:r w:rsidRPr="00B41137">
        <w:rPr>
          <w:lang w:val="en-ID"/>
        </w:rPr>
        <w:t>, R. (2020). Effects of Company Size, Profitability, Solvability and Audit Opinion on Audit Delay. Journal of Auditing, Finance, and Forensic Accounting, 8(1), 27-35</w:t>
      </w:r>
      <w:r w:rsidRPr="00B25B3C">
        <w:t xml:space="preserve"> </w:t>
      </w:r>
      <w:r w:rsidRPr="00B25B3C">
        <w:rPr>
          <w:lang w:val="en-ID"/>
        </w:rPr>
        <w:t>https://doi.org/10.21107/jaffa.v8i1.7058</w:t>
      </w:r>
      <w:r w:rsidRPr="00B41137">
        <w:rPr>
          <w:lang w:val="en-ID"/>
        </w:rPr>
        <w:t>.</w:t>
      </w:r>
    </w:p>
    <w:p w14:paraId="7669137D" w14:textId="77777777" w:rsidR="00F712AA" w:rsidRPr="00B41137" w:rsidRDefault="00F712AA" w:rsidP="00D15E2C">
      <w:pPr>
        <w:pStyle w:val="BodyText"/>
        <w:spacing w:after="180" w:line="240" w:lineRule="auto"/>
        <w:ind w:left="720" w:hanging="720"/>
        <w:rPr>
          <w:lang w:val="en-ID"/>
        </w:rPr>
      </w:pPr>
      <w:r w:rsidRPr="00B41137">
        <w:rPr>
          <w:lang w:val="en-ID"/>
        </w:rPr>
        <w:t xml:space="preserve">Bursa </w:t>
      </w:r>
      <w:proofErr w:type="spellStart"/>
      <w:r w:rsidRPr="00B41137">
        <w:rPr>
          <w:lang w:val="en-ID"/>
        </w:rPr>
        <w:t>Efek</w:t>
      </w:r>
      <w:proofErr w:type="spellEnd"/>
      <w:r w:rsidRPr="00B41137">
        <w:rPr>
          <w:lang w:val="en-ID"/>
        </w:rPr>
        <w:t xml:space="preserve"> Indonesia, (2004). Keputusan </w:t>
      </w:r>
      <w:proofErr w:type="spellStart"/>
      <w:r w:rsidRPr="00B41137">
        <w:rPr>
          <w:lang w:val="en-ID"/>
        </w:rPr>
        <w:t>Direksi</w:t>
      </w:r>
      <w:proofErr w:type="spellEnd"/>
      <w:r w:rsidRPr="00B41137">
        <w:rPr>
          <w:lang w:val="en-ID"/>
        </w:rPr>
        <w:t xml:space="preserve"> PT Bursa </w:t>
      </w:r>
      <w:proofErr w:type="spellStart"/>
      <w:r w:rsidRPr="00B41137">
        <w:rPr>
          <w:lang w:val="en-ID"/>
        </w:rPr>
        <w:t>Efek</w:t>
      </w:r>
      <w:proofErr w:type="spellEnd"/>
      <w:r w:rsidRPr="00B41137">
        <w:rPr>
          <w:lang w:val="en-ID"/>
        </w:rPr>
        <w:t xml:space="preserve"> Indonesia </w:t>
      </w:r>
      <w:proofErr w:type="spellStart"/>
      <w:r w:rsidRPr="00B41137">
        <w:rPr>
          <w:lang w:val="en-ID"/>
        </w:rPr>
        <w:t>Tentang</w:t>
      </w:r>
      <w:proofErr w:type="spellEnd"/>
      <w:r w:rsidRPr="00B41137">
        <w:rPr>
          <w:lang w:val="en-ID"/>
        </w:rPr>
        <w:t xml:space="preserve"> </w:t>
      </w:r>
      <w:proofErr w:type="spellStart"/>
      <w:r w:rsidRPr="00B41137">
        <w:rPr>
          <w:lang w:val="en-ID"/>
        </w:rPr>
        <w:t>Peraturan</w:t>
      </w:r>
      <w:proofErr w:type="spellEnd"/>
      <w:r w:rsidRPr="00B41137">
        <w:rPr>
          <w:lang w:val="en-ID"/>
        </w:rPr>
        <w:t xml:space="preserve"> </w:t>
      </w:r>
      <w:proofErr w:type="spellStart"/>
      <w:r w:rsidRPr="00B41137">
        <w:rPr>
          <w:lang w:val="en-ID"/>
        </w:rPr>
        <w:t>Nomor</w:t>
      </w:r>
      <w:proofErr w:type="spellEnd"/>
      <w:r w:rsidRPr="00B41137">
        <w:rPr>
          <w:lang w:val="en-ID"/>
        </w:rPr>
        <w:t xml:space="preserve"> I-H </w:t>
      </w:r>
      <w:proofErr w:type="spellStart"/>
      <w:r w:rsidRPr="00B41137">
        <w:rPr>
          <w:lang w:val="en-ID"/>
        </w:rPr>
        <w:t>Tentang</w:t>
      </w:r>
      <w:proofErr w:type="spellEnd"/>
      <w:r w:rsidRPr="00B41137">
        <w:rPr>
          <w:lang w:val="en-ID"/>
        </w:rPr>
        <w:t xml:space="preserve"> </w:t>
      </w:r>
      <w:proofErr w:type="spellStart"/>
      <w:r w:rsidRPr="00B41137">
        <w:rPr>
          <w:lang w:val="en-ID"/>
        </w:rPr>
        <w:t>Sanksi</w:t>
      </w:r>
      <w:proofErr w:type="spellEnd"/>
      <w:r w:rsidRPr="00B41137">
        <w:rPr>
          <w:lang w:val="en-ID"/>
        </w:rPr>
        <w:t xml:space="preserve">. PT Bursa </w:t>
      </w:r>
      <w:proofErr w:type="spellStart"/>
      <w:r w:rsidRPr="00B41137">
        <w:rPr>
          <w:lang w:val="en-ID"/>
        </w:rPr>
        <w:t>Efek</w:t>
      </w:r>
      <w:proofErr w:type="spellEnd"/>
      <w:r w:rsidRPr="00B41137">
        <w:rPr>
          <w:lang w:val="en-ID"/>
        </w:rPr>
        <w:t xml:space="preserve"> Jakarta, Jakarta</w:t>
      </w:r>
      <w:r w:rsidRPr="00B25B3C">
        <w:t xml:space="preserve"> </w:t>
      </w:r>
      <w:r w:rsidRPr="00B25B3C">
        <w:rPr>
          <w:lang w:val="en-ID"/>
        </w:rPr>
        <w:t>https://www.idx.co.id/media/1328/19.pdf</w:t>
      </w:r>
    </w:p>
    <w:p w14:paraId="381D914E" w14:textId="77777777" w:rsidR="00F712AA" w:rsidRPr="00B41137" w:rsidRDefault="00F712AA" w:rsidP="00D15E2C">
      <w:pPr>
        <w:pStyle w:val="BodyText"/>
        <w:spacing w:after="180" w:line="240" w:lineRule="auto"/>
        <w:ind w:left="720" w:hanging="720"/>
        <w:rPr>
          <w:lang w:val="en-ID"/>
        </w:rPr>
      </w:pPr>
      <w:r w:rsidRPr="00B41137">
        <w:rPr>
          <w:lang w:val="en-ID"/>
        </w:rPr>
        <w:t xml:space="preserve">Davidson, W. (2020). Financial Statement Analysis: Basis for Management Advice. </w:t>
      </w:r>
      <w:proofErr w:type="spellStart"/>
      <w:r w:rsidRPr="00B41137">
        <w:rPr>
          <w:lang w:val="en-ID"/>
        </w:rPr>
        <w:t>Edisi</w:t>
      </w:r>
      <w:proofErr w:type="spellEnd"/>
      <w:r w:rsidRPr="00B41137">
        <w:rPr>
          <w:lang w:val="en-ID"/>
        </w:rPr>
        <w:t xml:space="preserve"> </w:t>
      </w:r>
      <w:proofErr w:type="spellStart"/>
      <w:r w:rsidRPr="00B41137">
        <w:rPr>
          <w:lang w:val="en-ID"/>
        </w:rPr>
        <w:t>Ketiga</w:t>
      </w:r>
      <w:proofErr w:type="spellEnd"/>
      <w:r w:rsidRPr="00B41137">
        <w:rPr>
          <w:lang w:val="en-ID"/>
        </w:rPr>
        <w:t>. USA: AICPA and CIMA.</w:t>
      </w:r>
      <w:r w:rsidRPr="00B25B3C">
        <w:t xml:space="preserve"> </w:t>
      </w:r>
      <w:r w:rsidRPr="00B25B3C">
        <w:rPr>
          <w:lang w:val="en-ID"/>
        </w:rPr>
        <w:lastRenderedPageBreak/>
        <w:t>https://books.google.co.id/books/about/Financial_Statement_Analysis.html?id=JzbpDwAAQBAJ&amp;redir_esc=y</w:t>
      </w:r>
    </w:p>
    <w:p w14:paraId="615C3094" w14:textId="77777777" w:rsidR="00F712AA" w:rsidRPr="00B41137" w:rsidRDefault="00F712AA" w:rsidP="00D15E2C">
      <w:pPr>
        <w:pStyle w:val="BodyText"/>
        <w:spacing w:after="180" w:line="240" w:lineRule="auto"/>
        <w:ind w:left="720" w:hanging="720"/>
        <w:rPr>
          <w:lang w:val="en-ID"/>
        </w:rPr>
      </w:pPr>
      <w:r w:rsidRPr="00B41137">
        <w:rPr>
          <w:lang w:val="en-ID"/>
        </w:rPr>
        <w:t>Eisenhardt, K. M. (1989). Agency theory: An assessment and review. Academy of Management Review, 14(1), 57-74.</w:t>
      </w:r>
      <w:r w:rsidRPr="00B25B3C">
        <w:rPr>
          <w:rFonts w:ascii="Helvetica" w:hAnsi="Helvetica" w:cs="Helvetica"/>
          <w:color w:val="000000"/>
          <w:spacing w:val="-5"/>
          <w:sz w:val="22"/>
          <w:u w:val="single"/>
        </w:rPr>
        <w:t xml:space="preserve"> </w:t>
      </w:r>
      <w:r w:rsidRPr="00B25B3C">
        <w:rPr>
          <w:u w:val="single"/>
        </w:rPr>
        <w:t>https://doi.org/10.2307/258191</w:t>
      </w:r>
    </w:p>
    <w:p w14:paraId="28C09667" w14:textId="77777777" w:rsidR="00F712AA" w:rsidRPr="00B41137" w:rsidRDefault="00F712AA" w:rsidP="00D15E2C">
      <w:pPr>
        <w:pStyle w:val="BodyText"/>
        <w:spacing w:after="180" w:line="240" w:lineRule="auto"/>
        <w:ind w:left="720" w:hanging="720"/>
        <w:rPr>
          <w:lang w:val="en-ID"/>
        </w:rPr>
      </w:pPr>
      <w:r w:rsidRPr="00B41137">
        <w:rPr>
          <w:lang w:val="en-ID"/>
        </w:rPr>
        <w:t xml:space="preserve">Fahmi, I., &amp; </w:t>
      </w:r>
      <w:proofErr w:type="spellStart"/>
      <w:r w:rsidRPr="00B41137">
        <w:rPr>
          <w:lang w:val="en-ID"/>
        </w:rPr>
        <w:t>Harahap</w:t>
      </w:r>
      <w:proofErr w:type="spellEnd"/>
      <w:r w:rsidRPr="00B41137">
        <w:rPr>
          <w:lang w:val="en-ID"/>
        </w:rPr>
        <w:t xml:space="preserve">, D. (2022). Audit Tenure dan </w:t>
      </w:r>
      <w:proofErr w:type="spellStart"/>
      <w:r w:rsidRPr="00B41137">
        <w:rPr>
          <w:lang w:val="en-ID"/>
        </w:rPr>
        <w:t>Independensi</w:t>
      </w:r>
      <w:proofErr w:type="spellEnd"/>
      <w:r w:rsidRPr="00B41137">
        <w:rPr>
          <w:lang w:val="en-ID"/>
        </w:rPr>
        <w:t xml:space="preserve"> Auditor </w:t>
      </w:r>
      <w:proofErr w:type="spellStart"/>
      <w:r w:rsidRPr="00B41137">
        <w:rPr>
          <w:lang w:val="en-ID"/>
        </w:rPr>
        <w:t>dalam</w:t>
      </w:r>
      <w:proofErr w:type="spellEnd"/>
      <w:r w:rsidRPr="00B41137">
        <w:rPr>
          <w:lang w:val="en-ID"/>
        </w:rPr>
        <w:t xml:space="preserve"> </w:t>
      </w:r>
      <w:proofErr w:type="spellStart"/>
      <w:r w:rsidRPr="00B41137">
        <w:rPr>
          <w:lang w:val="en-ID"/>
        </w:rPr>
        <w:t>Meminimalisir</w:t>
      </w:r>
      <w:proofErr w:type="spellEnd"/>
      <w:r w:rsidRPr="00B41137">
        <w:rPr>
          <w:lang w:val="en-ID"/>
        </w:rPr>
        <w:t xml:space="preserve"> Audit Delay. Journal of Financial Auditing, 18(4), 102-115.</w:t>
      </w:r>
    </w:p>
    <w:p w14:paraId="7F56B1D3" w14:textId="77777777" w:rsidR="00F712AA" w:rsidRPr="00B41137" w:rsidRDefault="00F712AA" w:rsidP="00D15E2C">
      <w:pPr>
        <w:pStyle w:val="BodyText"/>
        <w:spacing w:after="180" w:line="240" w:lineRule="auto"/>
        <w:ind w:left="720" w:hanging="720"/>
        <w:rPr>
          <w:lang w:val="en-ID"/>
        </w:rPr>
      </w:pPr>
      <w:r w:rsidRPr="00B41137">
        <w:rPr>
          <w:lang w:val="en-ID"/>
        </w:rPr>
        <w:t xml:space="preserve">Jensen, M., C., dan W. </w:t>
      </w:r>
      <w:proofErr w:type="spellStart"/>
      <w:r w:rsidRPr="00B41137">
        <w:rPr>
          <w:lang w:val="en-ID"/>
        </w:rPr>
        <w:t>Meckling</w:t>
      </w:r>
      <w:proofErr w:type="spellEnd"/>
      <w:r w:rsidRPr="00B41137">
        <w:rPr>
          <w:lang w:val="en-ID"/>
        </w:rPr>
        <w:t xml:space="preserve">, 1976. “Theory of the firm: Managerial </w:t>
      </w:r>
      <w:proofErr w:type="spellStart"/>
      <w:r w:rsidRPr="00B41137">
        <w:rPr>
          <w:lang w:val="en-ID"/>
        </w:rPr>
        <w:t>behavior</w:t>
      </w:r>
      <w:proofErr w:type="spellEnd"/>
      <w:r w:rsidRPr="00B41137">
        <w:rPr>
          <w:lang w:val="en-ID"/>
        </w:rPr>
        <w:t>, agency cost and ownership structure”, Journal of Finance Economic 3:305- 360.</w:t>
      </w:r>
      <w:r w:rsidRPr="00B25B3C">
        <w:rPr>
          <w:rFonts w:ascii="Verdana" w:hAnsi="Verdana"/>
          <w:color w:val="232323"/>
          <w:sz w:val="21"/>
          <w:szCs w:val="21"/>
          <w:shd w:val="clear" w:color="auto" w:fill="FFFFFF"/>
        </w:rPr>
        <w:t xml:space="preserve"> </w:t>
      </w:r>
      <w:r w:rsidRPr="00B25B3C">
        <w:t>http://dx.doi.org/10.1016/0304-405X(76)90026-X</w:t>
      </w:r>
    </w:p>
    <w:p w14:paraId="3BF0E5A3" w14:textId="77777777" w:rsidR="00F712AA" w:rsidRPr="00B41137" w:rsidRDefault="00F712AA" w:rsidP="00D15E2C">
      <w:pPr>
        <w:pStyle w:val="BodyText"/>
        <w:spacing w:after="180" w:line="240" w:lineRule="auto"/>
        <w:ind w:left="720" w:hanging="720"/>
        <w:rPr>
          <w:lang w:val="en-ID"/>
        </w:rPr>
      </w:pPr>
      <w:proofErr w:type="spellStart"/>
      <w:r w:rsidRPr="00B41137">
        <w:rPr>
          <w:lang w:val="en-ID"/>
        </w:rPr>
        <w:t>Kristanti</w:t>
      </w:r>
      <w:proofErr w:type="spellEnd"/>
      <w:r w:rsidRPr="00B41137">
        <w:rPr>
          <w:lang w:val="en-ID"/>
        </w:rPr>
        <w:t xml:space="preserve">, C., &amp; </w:t>
      </w:r>
      <w:proofErr w:type="spellStart"/>
      <w:r w:rsidRPr="00B41137">
        <w:rPr>
          <w:lang w:val="en-ID"/>
        </w:rPr>
        <w:t>Mulya</w:t>
      </w:r>
      <w:proofErr w:type="spellEnd"/>
      <w:r w:rsidRPr="00B41137">
        <w:rPr>
          <w:lang w:val="en-ID"/>
        </w:rPr>
        <w:t xml:space="preserve">, H. (2021). The Effect of Leverage, Profitability and The Audit Committee on Audit Delay </w:t>
      </w:r>
      <w:proofErr w:type="gramStart"/>
      <w:r w:rsidRPr="00B41137">
        <w:rPr>
          <w:lang w:val="en-ID"/>
        </w:rPr>
        <w:t>With</w:t>
      </w:r>
      <w:proofErr w:type="gramEnd"/>
      <w:r w:rsidRPr="00B41137">
        <w:rPr>
          <w:lang w:val="en-ID"/>
        </w:rPr>
        <w:t xml:space="preserve"> Company Size as a Moderated Variables. </w:t>
      </w:r>
      <w:proofErr w:type="spellStart"/>
      <w:r w:rsidRPr="00B41137">
        <w:rPr>
          <w:lang w:val="en-ID"/>
        </w:rPr>
        <w:t>Dinasti</w:t>
      </w:r>
      <w:proofErr w:type="spellEnd"/>
      <w:r w:rsidRPr="00B41137">
        <w:rPr>
          <w:lang w:val="en-ID"/>
        </w:rPr>
        <w:t xml:space="preserve"> International Journal of Economics, Finance &amp; Accounting, 2(3), 283-294.</w:t>
      </w:r>
      <w:r w:rsidRPr="00B25B3C">
        <w:rPr>
          <w:sz w:val="22"/>
        </w:rPr>
        <w:t xml:space="preserve"> </w:t>
      </w:r>
      <w:hyperlink r:id="rId13" w:history="1">
        <w:r w:rsidRPr="00B25B3C">
          <w:rPr>
            <w:rStyle w:val="Hyperlink"/>
          </w:rPr>
          <w:t>https://doi.org/10.38035/dijefa.v2i3.900</w:t>
        </w:r>
      </w:hyperlink>
    </w:p>
    <w:p w14:paraId="23A66CF7" w14:textId="77777777" w:rsidR="00F712AA" w:rsidRPr="00B41137" w:rsidRDefault="00F712AA" w:rsidP="00D15E2C">
      <w:pPr>
        <w:pStyle w:val="BodyText"/>
        <w:spacing w:after="180" w:line="240" w:lineRule="auto"/>
        <w:ind w:left="720" w:hanging="720"/>
        <w:rPr>
          <w:lang w:val="en-ID"/>
        </w:rPr>
      </w:pPr>
      <w:r w:rsidRPr="00B41137">
        <w:rPr>
          <w:lang w:val="en-ID"/>
        </w:rPr>
        <w:t xml:space="preserve">Marinda, A. B., </w:t>
      </w:r>
      <w:proofErr w:type="spellStart"/>
      <w:r w:rsidRPr="00B41137">
        <w:rPr>
          <w:lang w:val="en-ID"/>
        </w:rPr>
        <w:t>Widianingsih</w:t>
      </w:r>
      <w:proofErr w:type="spellEnd"/>
      <w:r w:rsidRPr="00B41137">
        <w:rPr>
          <w:lang w:val="en-ID"/>
        </w:rPr>
        <w:t xml:space="preserve">, R., </w:t>
      </w:r>
      <w:proofErr w:type="spellStart"/>
      <w:r w:rsidRPr="00B41137">
        <w:rPr>
          <w:lang w:val="en-ID"/>
        </w:rPr>
        <w:t>Ramadhanti</w:t>
      </w:r>
      <w:proofErr w:type="spellEnd"/>
      <w:r w:rsidRPr="00B41137">
        <w:rPr>
          <w:lang w:val="en-ID"/>
        </w:rPr>
        <w:t xml:space="preserve">, W., </w:t>
      </w:r>
      <w:proofErr w:type="spellStart"/>
      <w:r w:rsidRPr="00B41137">
        <w:rPr>
          <w:lang w:val="en-ID"/>
        </w:rPr>
        <w:t>Purwati</w:t>
      </w:r>
      <w:proofErr w:type="spellEnd"/>
      <w:r w:rsidRPr="00B41137">
        <w:rPr>
          <w:lang w:val="en-ID"/>
        </w:rPr>
        <w:t xml:space="preserve">, A. S., Ayu, R., </w:t>
      </w:r>
      <w:proofErr w:type="spellStart"/>
      <w:r w:rsidRPr="00B41137">
        <w:rPr>
          <w:lang w:val="en-ID"/>
        </w:rPr>
        <w:t>Wulandari</w:t>
      </w:r>
      <w:proofErr w:type="spellEnd"/>
      <w:r w:rsidRPr="00B41137">
        <w:rPr>
          <w:lang w:val="en-ID"/>
        </w:rPr>
        <w:t xml:space="preserve">, S., &amp; </w:t>
      </w:r>
      <w:proofErr w:type="spellStart"/>
      <w:r w:rsidRPr="00B41137">
        <w:rPr>
          <w:lang w:val="en-ID"/>
        </w:rPr>
        <w:t>Soedirman</w:t>
      </w:r>
      <w:proofErr w:type="spellEnd"/>
      <w:r w:rsidRPr="00B41137">
        <w:rPr>
          <w:lang w:val="en-ID"/>
        </w:rPr>
        <w:t xml:space="preserve">, U. J. (2023). </w:t>
      </w:r>
      <w:proofErr w:type="spellStart"/>
      <w:r w:rsidRPr="00B41137">
        <w:rPr>
          <w:lang w:val="en-ID"/>
        </w:rPr>
        <w:t>Pengaruh</w:t>
      </w:r>
      <w:proofErr w:type="spellEnd"/>
      <w:r w:rsidRPr="00B41137">
        <w:rPr>
          <w:lang w:val="en-ID"/>
        </w:rPr>
        <w:t xml:space="preserve"> Good Corporate Governance </w:t>
      </w:r>
      <w:proofErr w:type="spellStart"/>
      <w:r w:rsidRPr="00B41137">
        <w:rPr>
          <w:lang w:val="en-ID"/>
        </w:rPr>
        <w:t>Terhadap</w:t>
      </w:r>
      <w:proofErr w:type="spellEnd"/>
      <w:r w:rsidRPr="00B41137">
        <w:rPr>
          <w:lang w:val="en-ID"/>
        </w:rPr>
        <w:t xml:space="preserve"> Audit Delay </w:t>
      </w:r>
      <w:proofErr w:type="spellStart"/>
      <w:r w:rsidRPr="00B41137">
        <w:rPr>
          <w:lang w:val="en-ID"/>
        </w:rPr>
        <w:t>Dengan</w:t>
      </w:r>
      <w:proofErr w:type="spellEnd"/>
      <w:r w:rsidRPr="00B41137">
        <w:rPr>
          <w:lang w:val="en-ID"/>
        </w:rPr>
        <w:t xml:space="preserve"> </w:t>
      </w:r>
      <w:proofErr w:type="spellStart"/>
      <w:r w:rsidRPr="00B41137">
        <w:rPr>
          <w:lang w:val="en-ID"/>
        </w:rPr>
        <w:t>Profitabilitas</w:t>
      </w:r>
      <w:proofErr w:type="spellEnd"/>
      <w:r w:rsidRPr="00B41137">
        <w:rPr>
          <w:lang w:val="en-ID"/>
        </w:rPr>
        <w:t xml:space="preserve"> </w:t>
      </w:r>
      <w:proofErr w:type="spellStart"/>
      <w:r w:rsidRPr="00B41137">
        <w:rPr>
          <w:lang w:val="en-ID"/>
        </w:rPr>
        <w:t>Sebagai</w:t>
      </w:r>
      <w:proofErr w:type="spellEnd"/>
      <w:r w:rsidRPr="00B41137">
        <w:rPr>
          <w:lang w:val="en-ID"/>
        </w:rPr>
        <w:t xml:space="preserve"> </w:t>
      </w:r>
      <w:proofErr w:type="spellStart"/>
      <w:r w:rsidRPr="00B41137">
        <w:rPr>
          <w:lang w:val="en-ID"/>
        </w:rPr>
        <w:t>Variabel</w:t>
      </w:r>
      <w:proofErr w:type="spellEnd"/>
      <w:r w:rsidRPr="00B41137">
        <w:rPr>
          <w:lang w:val="en-ID"/>
        </w:rPr>
        <w:t xml:space="preserve"> </w:t>
      </w:r>
      <w:proofErr w:type="spellStart"/>
      <w:r w:rsidRPr="00B41137">
        <w:rPr>
          <w:lang w:val="en-ID"/>
        </w:rPr>
        <w:t>Moderasi</w:t>
      </w:r>
      <w:proofErr w:type="spellEnd"/>
      <w:r w:rsidRPr="00B41137">
        <w:rPr>
          <w:lang w:val="en-ID"/>
        </w:rPr>
        <w:t xml:space="preserve"> </w:t>
      </w:r>
      <w:proofErr w:type="spellStart"/>
      <w:r w:rsidRPr="00B41137">
        <w:rPr>
          <w:lang w:val="en-ID"/>
        </w:rPr>
        <w:t>Selama</w:t>
      </w:r>
      <w:proofErr w:type="spellEnd"/>
      <w:r w:rsidRPr="00B41137">
        <w:rPr>
          <w:lang w:val="en-ID"/>
        </w:rPr>
        <w:t xml:space="preserve"> </w:t>
      </w:r>
      <w:proofErr w:type="spellStart"/>
      <w:r w:rsidRPr="00B41137">
        <w:rPr>
          <w:lang w:val="en-ID"/>
        </w:rPr>
        <w:t>Pandemi</w:t>
      </w:r>
      <w:proofErr w:type="spellEnd"/>
      <w:r w:rsidRPr="00B41137">
        <w:rPr>
          <w:lang w:val="en-ID"/>
        </w:rPr>
        <w:t xml:space="preserve"> Covid-19. </w:t>
      </w:r>
      <w:proofErr w:type="spellStart"/>
      <w:r w:rsidRPr="00B41137">
        <w:rPr>
          <w:lang w:val="en-ID"/>
        </w:rPr>
        <w:t>Jurnal</w:t>
      </w:r>
      <w:proofErr w:type="spellEnd"/>
      <w:r w:rsidRPr="00B41137">
        <w:rPr>
          <w:lang w:val="en-ID"/>
        </w:rPr>
        <w:t xml:space="preserve"> </w:t>
      </w:r>
      <w:proofErr w:type="spellStart"/>
      <w:r w:rsidRPr="00B41137">
        <w:rPr>
          <w:lang w:val="en-ID"/>
        </w:rPr>
        <w:t>Riset</w:t>
      </w:r>
      <w:proofErr w:type="spellEnd"/>
      <w:r w:rsidRPr="00B41137">
        <w:rPr>
          <w:lang w:val="en-ID"/>
        </w:rPr>
        <w:t xml:space="preserve"> </w:t>
      </w:r>
      <w:proofErr w:type="spellStart"/>
      <w:r w:rsidRPr="00B41137">
        <w:rPr>
          <w:lang w:val="en-ID"/>
        </w:rPr>
        <w:t>Akuntansi</w:t>
      </w:r>
      <w:proofErr w:type="spellEnd"/>
      <w:r w:rsidRPr="00B41137">
        <w:rPr>
          <w:lang w:val="en-ID"/>
        </w:rPr>
        <w:t xml:space="preserve"> </w:t>
      </w:r>
      <w:proofErr w:type="spellStart"/>
      <w:r w:rsidRPr="00B41137">
        <w:rPr>
          <w:lang w:val="en-ID"/>
        </w:rPr>
        <w:t>Soedirman</w:t>
      </w:r>
      <w:proofErr w:type="spellEnd"/>
      <w:r w:rsidRPr="00B41137">
        <w:rPr>
          <w:lang w:val="en-ID"/>
        </w:rPr>
        <w:t>, 2(1), 73–86.</w:t>
      </w:r>
      <w:r w:rsidRPr="00B25B3C">
        <w:rPr>
          <w:sz w:val="22"/>
        </w:rPr>
        <w:t xml:space="preserve"> </w:t>
      </w:r>
      <w:hyperlink r:id="rId14" w:history="1">
        <w:r w:rsidRPr="00B25B3C">
          <w:rPr>
            <w:rStyle w:val="Hyperlink"/>
          </w:rPr>
          <w:t>https://doi.org/10.55606/cemerlang.v4i2.2630</w:t>
        </w:r>
      </w:hyperlink>
      <w:r w:rsidRPr="00B41137">
        <w:rPr>
          <w:lang w:val="en-ID"/>
        </w:rPr>
        <w:t xml:space="preserve">  </w:t>
      </w:r>
    </w:p>
    <w:p w14:paraId="42AF15E6" w14:textId="77777777" w:rsidR="00F712AA" w:rsidRPr="00B41137" w:rsidRDefault="00F712AA" w:rsidP="00D15E2C">
      <w:pPr>
        <w:pStyle w:val="BodyText"/>
        <w:spacing w:after="180" w:line="240" w:lineRule="auto"/>
        <w:ind w:left="720" w:hanging="720"/>
        <w:rPr>
          <w:lang w:val="en-ID"/>
        </w:rPr>
      </w:pPr>
      <w:proofErr w:type="spellStart"/>
      <w:r w:rsidRPr="00B41137">
        <w:rPr>
          <w:lang w:val="en-ID"/>
        </w:rPr>
        <w:t>Muna</w:t>
      </w:r>
      <w:proofErr w:type="spellEnd"/>
      <w:r w:rsidRPr="00B41137">
        <w:rPr>
          <w:lang w:val="en-ID"/>
        </w:rPr>
        <w:t xml:space="preserve">, E. F., &amp; </w:t>
      </w:r>
      <w:proofErr w:type="spellStart"/>
      <w:r w:rsidRPr="00B41137">
        <w:rPr>
          <w:lang w:val="en-ID"/>
        </w:rPr>
        <w:t>Lisiantara</w:t>
      </w:r>
      <w:proofErr w:type="spellEnd"/>
      <w:r w:rsidRPr="00B41137">
        <w:rPr>
          <w:lang w:val="en-ID"/>
        </w:rPr>
        <w:t>, G. A. (2021). Analysis of factors affecting audit delay in manufacturing and financial companies listed on IDX. Indonesia Accounting Journal, 3(1), 27-35.</w:t>
      </w:r>
      <w:r w:rsidRPr="00B25B3C">
        <w:rPr>
          <w:rFonts w:ascii="Inter" w:hAnsi="Inter"/>
          <w:sz w:val="21"/>
          <w:szCs w:val="21"/>
          <w:shd w:val="clear" w:color="auto" w:fill="F5F6FF"/>
        </w:rPr>
        <w:t xml:space="preserve"> </w:t>
      </w:r>
      <w:r w:rsidRPr="00B25B3C">
        <w:t>DOI: </w:t>
      </w:r>
      <w:hyperlink r:id="rId15" w:tgtFrame="_blank" w:history="1">
        <w:r w:rsidRPr="00B25B3C">
          <w:rPr>
            <w:rStyle w:val="Hyperlink"/>
          </w:rPr>
          <w:t>10.32400/iaj.33169</w:t>
        </w:r>
      </w:hyperlink>
    </w:p>
    <w:p w14:paraId="51E7EE0C" w14:textId="77777777" w:rsidR="00F712AA" w:rsidRPr="00B41137" w:rsidRDefault="00F712AA" w:rsidP="00D15E2C">
      <w:pPr>
        <w:pStyle w:val="BodyText"/>
        <w:spacing w:after="180" w:line="240" w:lineRule="auto"/>
        <w:ind w:left="720" w:hanging="720"/>
        <w:rPr>
          <w:lang w:val="en-ID"/>
        </w:rPr>
      </w:pPr>
      <w:proofErr w:type="spellStart"/>
      <w:r w:rsidRPr="00B41137">
        <w:rPr>
          <w:lang w:val="en-ID"/>
        </w:rPr>
        <w:t>Peraturan</w:t>
      </w:r>
      <w:proofErr w:type="spellEnd"/>
      <w:r w:rsidRPr="00B41137">
        <w:rPr>
          <w:lang w:val="en-ID"/>
        </w:rPr>
        <w:t xml:space="preserve"> </w:t>
      </w:r>
      <w:proofErr w:type="spellStart"/>
      <w:r w:rsidRPr="00B41137">
        <w:rPr>
          <w:lang w:val="en-ID"/>
        </w:rPr>
        <w:t>Otoritas</w:t>
      </w:r>
      <w:proofErr w:type="spellEnd"/>
      <w:r w:rsidRPr="00B41137">
        <w:rPr>
          <w:lang w:val="en-ID"/>
        </w:rPr>
        <w:t xml:space="preserve"> Jasa </w:t>
      </w:r>
      <w:proofErr w:type="spellStart"/>
      <w:r w:rsidRPr="00B41137">
        <w:rPr>
          <w:lang w:val="en-ID"/>
        </w:rPr>
        <w:t>Keuangan</w:t>
      </w:r>
      <w:proofErr w:type="spellEnd"/>
      <w:r w:rsidRPr="00B41137">
        <w:rPr>
          <w:lang w:val="en-ID"/>
        </w:rPr>
        <w:t xml:space="preserve"> </w:t>
      </w:r>
      <w:proofErr w:type="spellStart"/>
      <w:r w:rsidRPr="00B41137">
        <w:rPr>
          <w:lang w:val="en-ID"/>
        </w:rPr>
        <w:t>Nomor</w:t>
      </w:r>
      <w:proofErr w:type="spellEnd"/>
      <w:r w:rsidRPr="00B41137">
        <w:rPr>
          <w:lang w:val="en-ID"/>
        </w:rPr>
        <w:t xml:space="preserve"> 29/POJK.04/2016 </w:t>
      </w:r>
      <w:proofErr w:type="spellStart"/>
      <w:r w:rsidRPr="00B41137">
        <w:rPr>
          <w:lang w:val="en-ID"/>
        </w:rPr>
        <w:t>Tentang</w:t>
      </w:r>
      <w:proofErr w:type="spellEnd"/>
      <w:r w:rsidRPr="00B41137">
        <w:rPr>
          <w:lang w:val="en-ID"/>
        </w:rPr>
        <w:t xml:space="preserve"> </w:t>
      </w:r>
      <w:proofErr w:type="spellStart"/>
      <w:r w:rsidRPr="00B41137">
        <w:rPr>
          <w:lang w:val="en-ID"/>
        </w:rPr>
        <w:t>Laporan</w:t>
      </w:r>
      <w:proofErr w:type="spellEnd"/>
      <w:r w:rsidRPr="00B41137">
        <w:rPr>
          <w:lang w:val="en-ID"/>
        </w:rPr>
        <w:t xml:space="preserve"> </w:t>
      </w:r>
      <w:proofErr w:type="spellStart"/>
      <w:r w:rsidRPr="00B41137">
        <w:rPr>
          <w:lang w:val="en-ID"/>
        </w:rPr>
        <w:t>Tahunan</w:t>
      </w:r>
      <w:proofErr w:type="spellEnd"/>
      <w:r w:rsidRPr="00B41137">
        <w:rPr>
          <w:lang w:val="en-ID"/>
        </w:rPr>
        <w:t xml:space="preserve"> </w:t>
      </w:r>
      <w:proofErr w:type="spellStart"/>
      <w:r w:rsidRPr="00B41137">
        <w:rPr>
          <w:lang w:val="en-ID"/>
        </w:rPr>
        <w:t>Emiten</w:t>
      </w:r>
      <w:proofErr w:type="spellEnd"/>
      <w:r w:rsidRPr="00B41137">
        <w:rPr>
          <w:lang w:val="en-ID"/>
        </w:rPr>
        <w:t xml:space="preserve"> </w:t>
      </w:r>
      <w:proofErr w:type="spellStart"/>
      <w:r w:rsidRPr="00B41137">
        <w:rPr>
          <w:lang w:val="en-ID"/>
        </w:rPr>
        <w:t>Atau</w:t>
      </w:r>
      <w:proofErr w:type="spellEnd"/>
      <w:r w:rsidRPr="00B41137">
        <w:rPr>
          <w:lang w:val="en-ID"/>
        </w:rPr>
        <w:t xml:space="preserve"> Perusahaan </w:t>
      </w:r>
      <w:proofErr w:type="spellStart"/>
      <w:r w:rsidRPr="00B41137">
        <w:rPr>
          <w:lang w:val="en-ID"/>
        </w:rPr>
        <w:t>Publik</w:t>
      </w:r>
      <w:proofErr w:type="spellEnd"/>
      <w:r>
        <w:rPr>
          <w:lang w:val="en-ID"/>
        </w:rPr>
        <w:t xml:space="preserve"> </w:t>
      </w:r>
      <w:r w:rsidRPr="0015160F">
        <w:rPr>
          <w:lang w:val="en-ID"/>
        </w:rPr>
        <w:t>https://ojk.go.id/id/kanal/pasar-modal/regulasi/peraturan-ojk/Pages/POJK-Laporan-Tahunan-Emiten-Perusahaan-Publik.aspx</w:t>
      </w:r>
      <w:r w:rsidRPr="00B41137">
        <w:rPr>
          <w:lang w:val="en-ID"/>
        </w:rPr>
        <w:t>.</w:t>
      </w:r>
    </w:p>
    <w:p w14:paraId="49A425DD" w14:textId="77777777" w:rsidR="00F712AA" w:rsidRPr="00B41137" w:rsidRDefault="00F712AA" w:rsidP="00D15E2C">
      <w:pPr>
        <w:pStyle w:val="BodyText"/>
        <w:spacing w:after="180" w:line="240" w:lineRule="auto"/>
        <w:ind w:left="720" w:hanging="720"/>
        <w:rPr>
          <w:lang w:val="en-ID"/>
        </w:rPr>
      </w:pPr>
      <w:proofErr w:type="spellStart"/>
      <w:r w:rsidRPr="00B41137">
        <w:rPr>
          <w:lang w:val="en-ID"/>
        </w:rPr>
        <w:t>Puspitasari</w:t>
      </w:r>
      <w:proofErr w:type="spellEnd"/>
      <w:r w:rsidRPr="00B41137">
        <w:rPr>
          <w:lang w:val="en-ID"/>
        </w:rPr>
        <w:t xml:space="preserve">, S. M., &amp; Adi, S. W. (2024). </w:t>
      </w:r>
      <w:proofErr w:type="spellStart"/>
      <w:r w:rsidRPr="00B41137">
        <w:rPr>
          <w:lang w:val="en-ID"/>
        </w:rPr>
        <w:t>Pengaruh</w:t>
      </w:r>
      <w:proofErr w:type="spellEnd"/>
      <w:r w:rsidRPr="00B41137">
        <w:rPr>
          <w:lang w:val="en-ID"/>
        </w:rPr>
        <w:t xml:space="preserve"> </w:t>
      </w:r>
      <w:proofErr w:type="spellStart"/>
      <w:r w:rsidRPr="00B41137">
        <w:rPr>
          <w:lang w:val="en-ID"/>
        </w:rPr>
        <w:t>Kualitas</w:t>
      </w:r>
      <w:proofErr w:type="spellEnd"/>
      <w:r w:rsidRPr="00B41137">
        <w:rPr>
          <w:lang w:val="en-ID"/>
        </w:rPr>
        <w:t xml:space="preserve"> Audit, </w:t>
      </w:r>
      <w:proofErr w:type="spellStart"/>
      <w:r w:rsidRPr="00B41137">
        <w:rPr>
          <w:lang w:val="en-ID"/>
        </w:rPr>
        <w:t>Profitabilitas</w:t>
      </w:r>
      <w:proofErr w:type="spellEnd"/>
      <w:r w:rsidRPr="00B41137">
        <w:rPr>
          <w:lang w:val="en-ID"/>
        </w:rPr>
        <w:t xml:space="preserve">, </w:t>
      </w:r>
      <w:proofErr w:type="spellStart"/>
      <w:r w:rsidRPr="00B41137">
        <w:rPr>
          <w:lang w:val="en-ID"/>
        </w:rPr>
        <w:t>Solvabilitas</w:t>
      </w:r>
      <w:proofErr w:type="spellEnd"/>
      <w:r w:rsidRPr="00B41137">
        <w:rPr>
          <w:lang w:val="en-ID"/>
        </w:rPr>
        <w:t xml:space="preserve">, dan </w:t>
      </w:r>
      <w:proofErr w:type="spellStart"/>
      <w:r w:rsidRPr="00B41137">
        <w:rPr>
          <w:lang w:val="en-ID"/>
        </w:rPr>
        <w:t>Ukuran</w:t>
      </w:r>
      <w:proofErr w:type="spellEnd"/>
      <w:r w:rsidRPr="00B41137">
        <w:rPr>
          <w:lang w:val="en-ID"/>
        </w:rPr>
        <w:t xml:space="preserve"> Perusahaan </w:t>
      </w:r>
      <w:proofErr w:type="spellStart"/>
      <w:r w:rsidRPr="00B41137">
        <w:rPr>
          <w:lang w:val="en-ID"/>
        </w:rPr>
        <w:t>Terhadap</w:t>
      </w:r>
      <w:proofErr w:type="spellEnd"/>
      <w:r w:rsidRPr="00B41137">
        <w:rPr>
          <w:lang w:val="en-ID"/>
        </w:rPr>
        <w:t xml:space="preserve"> Audit Delay. </w:t>
      </w:r>
      <w:proofErr w:type="spellStart"/>
      <w:r w:rsidRPr="00B41137">
        <w:rPr>
          <w:lang w:val="en-ID"/>
        </w:rPr>
        <w:t>Jurnal</w:t>
      </w:r>
      <w:proofErr w:type="spellEnd"/>
      <w:r w:rsidRPr="00B41137">
        <w:rPr>
          <w:lang w:val="en-ID"/>
        </w:rPr>
        <w:t xml:space="preserve"> EMT KITA, 8(1), 467-478.</w:t>
      </w:r>
      <w:r w:rsidRPr="0015160F">
        <w:rPr>
          <w:sz w:val="22"/>
        </w:rPr>
        <w:t xml:space="preserve"> </w:t>
      </w:r>
      <w:hyperlink r:id="rId16" w:tgtFrame="_blank" w:history="1">
        <w:r w:rsidRPr="0015160F">
          <w:rPr>
            <w:rStyle w:val="Hyperlink"/>
          </w:rPr>
          <w:t>https://doi.org/10.35870/emt.v8i1.2122</w:t>
        </w:r>
      </w:hyperlink>
    </w:p>
    <w:p w14:paraId="394D7184" w14:textId="77777777" w:rsidR="00F712AA" w:rsidRPr="00B41137" w:rsidRDefault="00F712AA" w:rsidP="00D15E2C">
      <w:pPr>
        <w:pStyle w:val="BodyText"/>
        <w:spacing w:after="180" w:line="240" w:lineRule="auto"/>
        <w:ind w:left="720" w:hanging="720"/>
        <w:rPr>
          <w:lang w:val="en-ID"/>
        </w:rPr>
      </w:pPr>
      <w:proofErr w:type="spellStart"/>
      <w:r w:rsidRPr="00B41137">
        <w:rPr>
          <w:lang w:val="en-ID"/>
        </w:rPr>
        <w:t>Pratiwi</w:t>
      </w:r>
      <w:proofErr w:type="spellEnd"/>
      <w:r w:rsidRPr="00B41137">
        <w:rPr>
          <w:lang w:val="en-ID"/>
        </w:rPr>
        <w:t xml:space="preserve">, N., &amp; </w:t>
      </w:r>
      <w:proofErr w:type="spellStart"/>
      <w:r w:rsidRPr="00B41137">
        <w:rPr>
          <w:lang w:val="en-ID"/>
        </w:rPr>
        <w:t>Hardiyanto</w:t>
      </w:r>
      <w:proofErr w:type="spellEnd"/>
      <w:r w:rsidRPr="00B41137">
        <w:rPr>
          <w:lang w:val="en-ID"/>
        </w:rPr>
        <w:t xml:space="preserve">, T. (2021). </w:t>
      </w:r>
      <w:proofErr w:type="spellStart"/>
      <w:r w:rsidRPr="00B41137">
        <w:rPr>
          <w:lang w:val="en-ID"/>
        </w:rPr>
        <w:t>Pengaruh</w:t>
      </w:r>
      <w:proofErr w:type="spellEnd"/>
      <w:r w:rsidRPr="00B41137">
        <w:rPr>
          <w:lang w:val="en-ID"/>
        </w:rPr>
        <w:t xml:space="preserve"> Financial Distress </w:t>
      </w:r>
      <w:proofErr w:type="spellStart"/>
      <w:r w:rsidRPr="00B41137">
        <w:rPr>
          <w:lang w:val="en-ID"/>
        </w:rPr>
        <w:t>Terhadap</w:t>
      </w:r>
      <w:proofErr w:type="spellEnd"/>
      <w:r w:rsidRPr="00B41137">
        <w:rPr>
          <w:lang w:val="en-ID"/>
        </w:rPr>
        <w:t xml:space="preserve"> Audit Delay Pada Perusahaan </w:t>
      </w:r>
      <w:proofErr w:type="spellStart"/>
      <w:r w:rsidRPr="00B41137">
        <w:rPr>
          <w:lang w:val="en-ID"/>
        </w:rPr>
        <w:t>Manufaktur</w:t>
      </w:r>
      <w:proofErr w:type="spellEnd"/>
      <w:r w:rsidRPr="00B41137">
        <w:rPr>
          <w:lang w:val="en-ID"/>
        </w:rPr>
        <w:t xml:space="preserve"> yang </w:t>
      </w:r>
      <w:proofErr w:type="spellStart"/>
      <w:r w:rsidRPr="00B41137">
        <w:rPr>
          <w:lang w:val="en-ID"/>
        </w:rPr>
        <w:t>Terdaftar</w:t>
      </w:r>
      <w:proofErr w:type="spellEnd"/>
      <w:r w:rsidRPr="00B41137">
        <w:rPr>
          <w:lang w:val="en-ID"/>
        </w:rPr>
        <w:t xml:space="preserve"> di BEI. </w:t>
      </w:r>
      <w:proofErr w:type="spellStart"/>
      <w:r w:rsidRPr="00B41137">
        <w:rPr>
          <w:lang w:val="en-ID"/>
        </w:rPr>
        <w:t>Jurnal</w:t>
      </w:r>
      <w:proofErr w:type="spellEnd"/>
      <w:r w:rsidRPr="00B41137">
        <w:rPr>
          <w:lang w:val="en-ID"/>
        </w:rPr>
        <w:t xml:space="preserve"> </w:t>
      </w:r>
      <w:proofErr w:type="spellStart"/>
      <w:r w:rsidRPr="00B41137">
        <w:rPr>
          <w:lang w:val="en-ID"/>
        </w:rPr>
        <w:t>Akuntansi</w:t>
      </w:r>
      <w:proofErr w:type="spellEnd"/>
      <w:r w:rsidRPr="00B41137">
        <w:rPr>
          <w:lang w:val="en-ID"/>
        </w:rPr>
        <w:t xml:space="preserve"> dan Auditing Indonesia, 25(2), 235-248.</w:t>
      </w:r>
      <w:r w:rsidRPr="0015160F">
        <w:rPr>
          <w:sz w:val="22"/>
        </w:rPr>
        <w:t xml:space="preserve"> </w:t>
      </w:r>
      <w:hyperlink r:id="rId17" w:history="1">
        <w:r w:rsidRPr="0015160F">
          <w:rPr>
            <w:rStyle w:val="Hyperlink"/>
          </w:rPr>
          <w:t>https://doi.org/10.37385/msej.v5i2.5636</w:t>
        </w:r>
      </w:hyperlink>
    </w:p>
    <w:p w14:paraId="6B08B3CF" w14:textId="77777777" w:rsidR="00F712AA" w:rsidRPr="0015160F" w:rsidRDefault="00F712AA" w:rsidP="00D15E2C">
      <w:pPr>
        <w:pStyle w:val="BodyText"/>
        <w:spacing w:after="180" w:line="240" w:lineRule="auto"/>
        <w:ind w:left="720" w:hanging="720"/>
        <w:rPr>
          <w:b/>
          <w:bCs/>
        </w:rPr>
      </w:pPr>
      <w:r w:rsidRPr="00B41137">
        <w:rPr>
          <w:lang w:val="en-ID"/>
        </w:rPr>
        <w:t xml:space="preserve">Putra, W. M., &amp; </w:t>
      </w:r>
      <w:proofErr w:type="spellStart"/>
      <w:r w:rsidRPr="00B41137">
        <w:rPr>
          <w:lang w:val="en-ID"/>
        </w:rPr>
        <w:t>Purnamawati</w:t>
      </w:r>
      <w:proofErr w:type="spellEnd"/>
      <w:r w:rsidRPr="00B41137">
        <w:rPr>
          <w:lang w:val="en-ID"/>
        </w:rPr>
        <w:t>, R. (2021, January). The effect of audit tenure, audit delay, company growth, profitability, leverage, and financial difficulties on acceptance of going concern audit opinions. In 4th International Conference on Sustainable Innovation 2020-Accounting and Management (</w:t>
      </w:r>
      <w:proofErr w:type="spellStart"/>
      <w:r w:rsidRPr="00B41137">
        <w:rPr>
          <w:lang w:val="en-ID"/>
        </w:rPr>
        <w:t>ICoSIAMS</w:t>
      </w:r>
      <w:proofErr w:type="spellEnd"/>
      <w:r w:rsidRPr="00B41137">
        <w:rPr>
          <w:lang w:val="en-ID"/>
        </w:rPr>
        <w:t xml:space="preserve"> 2020) (pp. 199-208). Atlantis Press.</w:t>
      </w:r>
      <w:r w:rsidRPr="0015160F">
        <w:rPr>
          <w:b/>
          <w:bCs/>
          <w:color w:val="000000"/>
        </w:rPr>
        <w:t xml:space="preserve"> </w:t>
      </w:r>
      <w:r w:rsidRPr="0015160F">
        <w:rPr>
          <w:bCs/>
        </w:rPr>
        <w:t xml:space="preserve">DOI </w:t>
      </w:r>
      <w:hyperlink r:id="rId18" w:history="1">
        <w:r w:rsidRPr="0015160F">
          <w:rPr>
            <w:rStyle w:val="Hyperlink"/>
          </w:rPr>
          <w:t>10.2991/aer.k.210121.027</w:t>
        </w:r>
      </w:hyperlink>
    </w:p>
    <w:p w14:paraId="47E70AC1" w14:textId="77777777" w:rsidR="00F712AA" w:rsidRPr="00B41137" w:rsidRDefault="00F712AA" w:rsidP="00D15E2C">
      <w:pPr>
        <w:pStyle w:val="BodyText"/>
        <w:spacing w:after="180" w:line="240" w:lineRule="auto"/>
        <w:ind w:left="720" w:hanging="720"/>
        <w:rPr>
          <w:lang w:val="en-ID"/>
        </w:rPr>
      </w:pPr>
    </w:p>
    <w:p w14:paraId="05946004" w14:textId="77777777" w:rsidR="00F712AA" w:rsidRPr="00B41137" w:rsidRDefault="00F712AA" w:rsidP="00D15E2C">
      <w:pPr>
        <w:pStyle w:val="BodyText"/>
        <w:spacing w:after="180" w:line="240" w:lineRule="auto"/>
        <w:ind w:left="720" w:hanging="720"/>
        <w:rPr>
          <w:lang w:val="en-ID"/>
        </w:rPr>
      </w:pPr>
      <w:r w:rsidRPr="00B41137">
        <w:rPr>
          <w:lang w:val="en-ID"/>
        </w:rPr>
        <w:lastRenderedPageBreak/>
        <w:t xml:space="preserve">Sari, R., &amp; </w:t>
      </w:r>
      <w:proofErr w:type="spellStart"/>
      <w:r w:rsidRPr="00B41137">
        <w:rPr>
          <w:lang w:val="en-ID"/>
        </w:rPr>
        <w:t>Arif</w:t>
      </w:r>
      <w:proofErr w:type="spellEnd"/>
      <w:r w:rsidRPr="00B41137">
        <w:rPr>
          <w:lang w:val="en-ID"/>
        </w:rPr>
        <w:t>, M. (2021). Factors affecting audit delay: Evidence from Indonesia. Journal of Accounting and Business Research, 10(3), 45-57</w:t>
      </w:r>
      <w:r w:rsidRPr="0015160F">
        <w:rPr>
          <w:rFonts w:ascii="Arial" w:hAnsi="Arial"/>
          <w:color w:val="555555"/>
          <w:sz w:val="21"/>
          <w:szCs w:val="21"/>
          <w:shd w:val="clear" w:color="auto" w:fill="FFFFFF"/>
        </w:rPr>
        <w:t xml:space="preserve"> </w:t>
      </w:r>
      <w:r w:rsidRPr="0015160F">
        <w:t>DOI:</w:t>
      </w:r>
      <w:hyperlink r:id="rId19" w:tgtFrame="_blank" w:history="1">
        <w:r w:rsidRPr="0015160F">
          <w:rPr>
            <w:rStyle w:val="Hyperlink"/>
          </w:rPr>
          <w:t>10.5281/zenodo.7057710</w:t>
        </w:r>
      </w:hyperlink>
      <w:r w:rsidRPr="00B41137">
        <w:rPr>
          <w:lang w:val="en-ID"/>
        </w:rPr>
        <w:t>.</w:t>
      </w:r>
    </w:p>
    <w:p w14:paraId="28341B06" w14:textId="77777777" w:rsidR="00F712AA" w:rsidRPr="00B41137" w:rsidRDefault="00F712AA" w:rsidP="00D15E2C">
      <w:pPr>
        <w:pStyle w:val="BodyText"/>
        <w:spacing w:after="180" w:line="240" w:lineRule="auto"/>
        <w:ind w:left="720" w:hanging="720"/>
        <w:rPr>
          <w:lang w:val="en-ID"/>
        </w:rPr>
      </w:pPr>
      <w:r w:rsidRPr="00B41137">
        <w:rPr>
          <w:lang w:val="en-ID"/>
        </w:rPr>
        <w:t xml:space="preserve">Sari, R. N., &amp; Wijaya, L. (2021). </w:t>
      </w:r>
      <w:proofErr w:type="spellStart"/>
      <w:r w:rsidRPr="00B41137">
        <w:rPr>
          <w:lang w:val="en-ID"/>
        </w:rPr>
        <w:t>Pengaruh</w:t>
      </w:r>
      <w:proofErr w:type="spellEnd"/>
      <w:r w:rsidRPr="00B41137">
        <w:rPr>
          <w:lang w:val="en-ID"/>
        </w:rPr>
        <w:t xml:space="preserve"> </w:t>
      </w:r>
      <w:proofErr w:type="spellStart"/>
      <w:r w:rsidRPr="00B41137">
        <w:rPr>
          <w:lang w:val="en-ID"/>
        </w:rPr>
        <w:t>Solvabilitas</w:t>
      </w:r>
      <w:proofErr w:type="spellEnd"/>
      <w:r w:rsidRPr="00B41137">
        <w:rPr>
          <w:lang w:val="en-ID"/>
        </w:rPr>
        <w:t xml:space="preserve"> dan Leverage </w:t>
      </w:r>
      <w:proofErr w:type="spellStart"/>
      <w:r w:rsidRPr="00B41137">
        <w:rPr>
          <w:lang w:val="en-ID"/>
        </w:rPr>
        <w:t>Terhadap</w:t>
      </w:r>
      <w:proofErr w:type="spellEnd"/>
      <w:r w:rsidRPr="00B41137">
        <w:rPr>
          <w:lang w:val="en-ID"/>
        </w:rPr>
        <w:t xml:space="preserve"> Audit Delay Pada Perusahaan </w:t>
      </w:r>
      <w:proofErr w:type="spellStart"/>
      <w:r w:rsidRPr="00B41137">
        <w:rPr>
          <w:lang w:val="en-ID"/>
        </w:rPr>
        <w:t>Pertambangan</w:t>
      </w:r>
      <w:proofErr w:type="spellEnd"/>
      <w:r w:rsidRPr="00B41137">
        <w:rPr>
          <w:lang w:val="en-ID"/>
        </w:rPr>
        <w:t xml:space="preserve">. </w:t>
      </w:r>
      <w:proofErr w:type="spellStart"/>
      <w:r w:rsidRPr="00B41137">
        <w:rPr>
          <w:lang w:val="en-ID"/>
        </w:rPr>
        <w:t>Jurnal</w:t>
      </w:r>
      <w:proofErr w:type="spellEnd"/>
      <w:r w:rsidRPr="00B41137">
        <w:rPr>
          <w:lang w:val="en-ID"/>
        </w:rPr>
        <w:t xml:space="preserve"> </w:t>
      </w:r>
      <w:proofErr w:type="spellStart"/>
      <w:r w:rsidRPr="00B41137">
        <w:rPr>
          <w:lang w:val="en-ID"/>
        </w:rPr>
        <w:t>Akuntansi</w:t>
      </w:r>
      <w:proofErr w:type="spellEnd"/>
      <w:r w:rsidRPr="00B41137">
        <w:rPr>
          <w:lang w:val="en-ID"/>
        </w:rPr>
        <w:t xml:space="preserve"> </w:t>
      </w:r>
      <w:proofErr w:type="spellStart"/>
      <w:r w:rsidRPr="00B41137">
        <w:rPr>
          <w:lang w:val="en-ID"/>
        </w:rPr>
        <w:t>Kontemporer</w:t>
      </w:r>
      <w:proofErr w:type="spellEnd"/>
      <w:r w:rsidRPr="00B41137">
        <w:rPr>
          <w:lang w:val="en-ID"/>
        </w:rPr>
        <w:t>, 13(1), 92-105.</w:t>
      </w:r>
      <w:r w:rsidRPr="0015160F">
        <w:rPr>
          <w:sz w:val="22"/>
        </w:rPr>
        <w:t xml:space="preserve"> </w:t>
      </w:r>
      <w:hyperlink r:id="rId20" w:history="1">
        <w:r w:rsidRPr="0015160F">
          <w:rPr>
            <w:rStyle w:val="Hyperlink"/>
          </w:rPr>
          <w:t>https://doi.org/10.37151/jsma.v16i1.164</w:t>
        </w:r>
      </w:hyperlink>
    </w:p>
    <w:p w14:paraId="404B4389" w14:textId="2537CB19" w:rsidR="0021186D" w:rsidRDefault="0021186D" w:rsidP="00D15E2C">
      <w:pPr>
        <w:pStyle w:val="BodyText"/>
        <w:spacing w:after="180" w:line="240" w:lineRule="auto"/>
        <w:ind w:left="720" w:hanging="720"/>
        <w:rPr>
          <w:lang w:val="en-ID"/>
        </w:rPr>
      </w:pPr>
      <w:proofErr w:type="spellStart"/>
      <w:r w:rsidRPr="0021186D">
        <w:rPr>
          <w:lang w:val="en-ID"/>
        </w:rPr>
        <w:t>Sasongko</w:t>
      </w:r>
      <w:proofErr w:type="spellEnd"/>
      <w:r w:rsidRPr="0021186D">
        <w:rPr>
          <w:lang w:val="en-ID"/>
        </w:rPr>
        <w:t xml:space="preserve">, F. N., &amp; </w:t>
      </w:r>
      <w:proofErr w:type="spellStart"/>
      <w:r w:rsidRPr="0021186D">
        <w:rPr>
          <w:lang w:val="en-ID"/>
        </w:rPr>
        <w:t>Rachma</w:t>
      </w:r>
      <w:proofErr w:type="spellEnd"/>
      <w:r w:rsidRPr="0021186D">
        <w:rPr>
          <w:lang w:val="en-ID"/>
        </w:rPr>
        <w:t>, E. (2021). The Effect of Financial Performance on ROA Projected as Profitability. </w:t>
      </w:r>
      <w:proofErr w:type="spellStart"/>
      <w:r w:rsidRPr="0021186D">
        <w:rPr>
          <w:lang w:val="en-ID"/>
        </w:rPr>
        <w:t>Majapahit</w:t>
      </w:r>
      <w:proofErr w:type="spellEnd"/>
      <w:r w:rsidRPr="0021186D">
        <w:rPr>
          <w:lang w:val="en-ID"/>
        </w:rPr>
        <w:t xml:space="preserve"> Journal of Islamic Finance and Management, 1(1), 60–74. </w:t>
      </w:r>
      <w:r w:rsidRPr="0021186D">
        <w:rPr>
          <w:rStyle w:val="Hyperlink"/>
        </w:rPr>
        <w:t>https://doi.org/10.31538/mjifm.v1i1.5</w:t>
      </w:r>
      <w:r w:rsidRPr="0021186D">
        <w:rPr>
          <w:rStyle w:val="Hyperlink"/>
        </w:rPr>
        <w:t xml:space="preserve"> </w:t>
      </w:r>
    </w:p>
    <w:p w14:paraId="71FD770A" w14:textId="310FA575" w:rsidR="00F712AA" w:rsidRPr="00B41137" w:rsidRDefault="00F712AA" w:rsidP="00D15E2C">
      <w:pPr>
        <w:pStyle w:val="BodyText"/>
        <w:spacing w:after="180" w:line="240" w:lineRule="auto"/>
        <w:ind w:left="720" w:hanging="720"/>
        <w:rPr>
          <w:lang w:val="en-ID"/>
        </w:rPr>
      </w:pPr>
      <w:proofErr w:type="spellStart"/>
      <w:r w:rsidRPr="00B41137">
        <w:rPr>
          <w:lang w:val="en-ID"/>
        </w:rPr>
        <w:t>Sugiyono</w:t>
      </w:r>
      <w:proofErr w:type="spellEnd"/>
      <w:r w:rsidRPr="00B41137">
        <w:rPr>
          <w:lang w:val="en-ID"/>
        </w:rPr>
        <w:t xml:space="preserve">. (2022). </w:t>
      </w:r>
      <w:proofErr w:type="spellStart"/>
      <w:r w:rsidRPr="00B41137">
        <w:rPr>
          <w:lang w:val="en-ID"/>
        </w:rPr>
        <w:t>Metode</w:t>
      </w:r>
      <w:proofErr w:type="spellEnd"/>
      <w:r w:rsidRPr="00B41137">
        <w:rPr>
          <w:lang w:val="en-ID"/>
        </w:rPr>
        <w:t xml:space="preserve"> </w:t>
      </w:r>
      <w:proofErr w:type="spellStart"/>
      <w:r w:rsidRPr="00B41137">
        <w:rPr>
          <w:lang w:val="en-ID"/>
        </w:rPr>
        <w:t>Penelitian</w:t>
      </w:r>
      <w:proofErr w:type="spellEnd"/>
      <w:r w:rsidRPr="00B41137">
        <w:rPr>
          <w:lang w:val="en-ID"/>
        </w:rPr>
        <w:t xml:space="preserve"> </w:t>
      </w:r>
      <w:proofErr w:type="spellStart"/>
      <w:r w:rsidRPr="00B41137">
        <w:rPr>
          <w:lang w:val="en-ID"/>
        </w:rPr>
        <w:t>Kuantitatif</w:t>
      </w:r>
      <w:proofErr w:type="spellEnd"/>
      <w:r w:rsidRPr="00B41137">
        <w:rPr>
          <w:lang w:val="en-ID"/>
        </w:rPr>
        <w:t xml:space="preserve">, </w:t>
      </w:r>
      <w:proofErr w:type="spellStart"/>
      <w:r w:rsidRPr="00B41137">
        <w:rPr>
          <w:lang w:val="en-ID"/>
        </w:rPr>
        <w:t>Kualitatif</w:t>
      </w:r>
      <w:proofErr w:type="spellEnd"/>
      <w:r w:rsidRPr="00B41137">
        <w:rPr>
          <w:lang w:val="en-ID"/>
        </w:rPr>
        <w:t xml:space="preserve">, dan R&amp;D. Bandung: </w:t>
      </w:r>
      <w:proofErr w:type="spellStart"/>
      <w:r w:rsidRPr="00B41137">
        <w:rPr>
          <w:lang w:val="en-ID"/>
        </w:rPr>
        <w:t>Alfabeta</w:t>
      </w:r>
      <w:proofErr w:type="spellEnd"/>
      <w:r w:rsidRPr="00B41137">
        <w:rPr>
          <w:lang w:val="en-ID"/>
        </w:rPr>
        <w:t>.</w:t>
      </w:r>
      <w:r w:rsidRPr="006D33C9">
        <w:t xml:space="preserve"> </w:t>
      </w:r>
      <w:r w:rsidRPr="006D33C9">
        <w:rPr>
          <w:lang w:val="en-ID"/>
        </w:rPr>
        <w:t>https://www.scribd.com/document/6</w:t>
      </w:r>
      <w:r>
        <w:rPr>
          <w:lang w:val="en-ID"/>
        </w:rPr>
        <w:t xml:space="preserve">91644831/Metode-Penelitian-2022 </w:t>
      </w:r>
    </w:p>
    <w:p w14:paraId="23CCADE0" w14:textId="77777777" w:rsidR="00F712AA" w:rsidRPr="00B41137" w:rsidRDefault="00F712AA" w:rsidP="00D15E2C">
      <w:pPr>
        <w:pStyle w:val="BodyText"/>
        <w:spacing w:after="180" w:line="240" w:lineRule="auto"/>
        <w:ind w:left="720" w:hanging="720"/>
        <w:rPr>
          <w:lang w:val="en-ID"/>
        </w:rPr>
      </w:pPr>
      <w:proofErr w:type="spellStart"/>
      <w:r w:rsidRPr="00B41137">
        <w:rPr>
          <w:lang w:val="en-ID"/>
        </w:rPr>
        <w:t>Yuliusman</w:t>
      </w:r>
      <w:proofErr w:type="spellEnd"/>
      <w:r w:rsidRPr="00B41137">
        <w:rPr>
          <w:lang w:val="en-ID"/>
        </w:rPr>
        <w:t xml:space="preserve">, Y., Eka Putra, W., Gowon, M., </w:t>
      </w:r>
      <w:proofErr w:type="spellStart"/>
      <w:r w:rsidRPr="00B41137">
        <w:rPr>
          <w:lang w:val="en-ID"/>
        </w:rPr>
        <w:t>Dahmiri</w:t>
      </w:r>
      <w:proofErr w:type="spellEnd"/>
      <w:r w:rsidRPr="00B41137">
        <w:rPr>
          <w:lang w:val="en-ID"/>
        </w:rPr>
        <w:t xml:space="preserve">, D., &amp; </w:t>
      </w:r>
      <w:proofErr w:type="spellStart"/>
      <w:r w:rsidRPr="00B41137">
        <w:rPr>
          <w:lang w:val="en-ID"/>
        </w:rPr>
        <w:t>Isnaeni</w:t>
      </w:r>
      <w:proofErr w:type="spellEnd"/>
      <w:r w:rsidRPr="00B41137">
        <w:rPr>
          <w:lang w:val="en-ID"/>
        </w:rPr>
        <w:t xml:space="preserve">, N. (2020). Determinant Factors Audit Delay: Evidence from Indonesia. </w:t>
      </w:r>
      <w:proofErr w:type="spellStart"/>
      <w:r w:rsidRPr="00B41137">
        <w:rPr>
          <w:lang w:val="en-ID"/>
        </w:rPr>
        <w:t>Yuliusman</w:t>
      </w:r>
      <w:proofErr w:type="spellEnd"/>
      <w:r w:rsidRPr="00B41137">
        <w:rPr>
          <w:lang w:val="en-ID"/>
        </w:rPr>
        <w:t xml:space="preserve">, Putra, WE, Gowon, M., </w:t>
      </w:r>
      <w:proofErr w:type="spellStart"/>
      <w:r w:rsidRPr="00B41137">
        <w:rPr>
          <w:lang w:val="en-ID"/>
        </w:rPr>
        <w:t>Dahmiri</w:t>
      </w:r>
      <w:proofErr w:type="spellEnd"/>
      <w:r w:rsidRPr="00B41137">
        <w:rPr>
          <w:lang w:val="en-ID"/>
        </w:rPr>
        <w:t xml:space="preserve">, &amp; </w:t>
      </w:r>
      <w:proofErr w:type="spellStart"/>
      <w:r w:rsidRPr="00B41137">
        <w:rPr>
          <w:lang w:val="en-ID"/>
        </w:rPr>
        <w:t>Isnaeni</w:t>
      </w:r>
      <w:proofErr w:type="spellEnd"/>
      <w:r w:rsidRPr="00B41137">
        <w:rPr>
          <w:lang w:val="en-ID"/>
        </w:rPr>
        <w:t>, (2020), 1088-1095.</w:t>
      </w:r>
      <w:r w:rsidRPr="006D33C9">
        <w:rPr>
          <w:rFonts w:ascii="NexusSansWebPro" w:hAnsi="NexusSansWebPro"/>
          <w:i/>
          <w:iCs/>
          <w:color w:val="505050"/>
          <w:sz w:val="22"/>
          <w:shd w:val="clear" w:color="auto" w:fill="FFFFFF"/>
        </w:rPr>
        <w:t xml:space="preserve"> </w:t>
      </w:r>
      <w:r w:rsidRPr="006D33C9">
        <w:rPr>
          <w:iCs/>
        </w:rPr>
        <w:t>https://doi.org/10.35940/ijrte.F7560.038620</w:t>
      </w:r>
    </w:p>
    <w:p w14:paraId="7E372BEF" w14:textId="77777777" w:rsidR="00F712AA" w:rsidRPr="00DF51B5" w:rsidRDefault="00F712AA" w:rsidP="00D15E2C">
      <w:pPr>
        <w:pStyle w:val="BodyText"/>
        <w:spacing w:after="180" w:line="240" w:lineRule="auto"/>
        <w:ind w:left="720" w:hanging="720"/>
        <w:rPr>
          <w:lang w:val="en-ID"/>
        </w:rPr>
      </w:pPr>
      <w:proofErr w:type="spellStart"/>
      <w:r w:rsidRPr="00B41137">
        <w:rPr>
          <w:lang w:val="en-ID"/>
        </w:rPr>
        <w:t>Zulinovika</w:t>
      </w:r>
      <w:proofErr w:type="spellEnd"/>
      <w:r w:rsidRPr="00B41137">
        <w:rPr>
          <w:lang w:val="en-ID"/>
        </w:rPr>
        <w:t xml:space="preserve">, E., </w:t>
      </w:r>
      <w:proofErr w:type="spellStart"/>
      <w:r w:rsidRPr="00B41137">
        <w:rPr>
          <w:lang w:val="en-ID"/>
        </w:rPr>
        <w:t>Usdeldi</w:t>
      </w:r>
      <w:proofErr w:type="spellEnd"/>
      <w:r w:rsidRPr="00B41137">
        <w:rPr>
          <w:lang w:val="en-ID"/>
        </w:rPr>
        <w:t xml:space="preserve">, U., &amp; </w:t>
      </w:r>
      <w:proofErr w:type="spellStart"/>
      <w:r w:rsidRPr="00B41137">
        <w:rPr>
          <w:lang w:val="en-ID"/>
        </w:rPr>
        <w:t>Tanjung</w:t>
      </w:r>
      <w:proofErr w:type="spellEnd"/>
      <w:r w:rsidRPr="00B41137">
        <w:rPr>
          <w:lang w:val="en-ID"/>
        </w:rPr>
        <w:t xml:space="preserve">, F. S. (2024). PENGARUH AUDIT SWITCHING DAN AUDIT TENURE TERHADAP AUDIT DELAY PADA PERBANKAN SYARIAH DI INDONESIA. </w:t>
      </w:r>
      <w:proofErr w:type="spellStart"/>
      <w:r w:rsidRPr="00B41137">
        <w:rPr>
          <w:lang w:val="en-ID"/>
        </w:rPr>
        <w:t>Jurnal</w:t>
      </w:r>
      <w:proofErr w:type="spellEnd"/>
      <w:r w:rsidRPr="00B41137">
        <w:rPr>
          <w:lang w:val="en-ID"/>
        </w:rPr>
        <w:t xml:space="preserve"> </w:t>
      </w:r>
      <w:proofErr w:type="spellStart"/>
      <w:r w:rsidRPr="00B41137">
        <w:rPr>
          <w:lang w:val="en-ID"/>
        </w:rPr>
        <w:t>Ilmiah</w:t>
      </w:r>
      <w:proofErr w:type="spellEnd"/>
      <w:r w:rsidRPr="00B41137">
        <w:rPr>
          <w:lang w:val="en-ID"/>
        </w:rPr>
        <w:t xml:space="preserve"> </w:t>
      </w:r>
      <w:proofErr w:type="spellStart"/>
      <w:r w:rsidRPr="00B41137">
        <w:rPr>
          <w:lang w:val="en-ID"/>
        </w:rPr>
        <w:t>Ekonomi</w:t>
      </w:r>
      <w:proofErr w:type="spellEnd"/>
      <w:r w:rsidRPr="00B41137">
        <w:rPr>
          <w:lang w:val="en-ID"/>
        </w:rPr>
        <w:t xml:space="preserve"> Dan </w:t>
      </w:r>
      <w:proofErr w:type="spellStart"/>
      <w:r w:rsidRPr="00B41137">
        <w:rPr>
          <w:lang w:val="en-ID"/>
        </w:rPr>
        <w:t>Manajemen</w:t>
      </w:r>
      <w:proofErr w:type="spellEnd"/>
      <w:r w:rsidRPr="00B41137">
        <w:rPr>
          <w:lang w:val="en-ID"/>
        </w:rPr>
        <w:t>, 2(6), 42-56</w:t>
      </w:r>
      <w:r w:rsidRPr="006D33C9">
        <w:rPr>
          <w:sz w:val="22"/>
        </w:rPr>
        <w:t xml:space="preserve"> </w:t>
      </w:r>
      <w:hyperlink r:id="rId21" w:history="1">
        <w:r w:rsidRPr="006D33C9">
          <w:rPr>
            <w:rStyle w:val="Hyperlink"/>
          </w:rPr>
          <w:t>https://doi.org/10.61722/jiem.v2i6.1270</w:t>
        </w:r>
      </w:hyperlink>
      <w:r w:rsidRPr="00B41137">
        <w:rPr>
          <w:lang w:val="en-ID"/>
        </w:rPr>
        <w:t xml:space="preserve">. </w:t>
      </w:r>
    </w:p>
    <w:p w14:paraId="259D6D8E" w14:textId="77777777" w:rsidR="00F712AA" w:rsidRDefault="00F712AA" w:rsidP="00D15E2C">
      <w:pPr>
        <w:pStyle w:val="BodyText"/>
        <w:spacing w:after="180" w:line="240" w:lineRule="auto"/>
        <w:ind w:left="720" w:hanging="720"/>
      </w:pPr>
      <w:r w:rsidRPr="005302B6">
        <w:fldChar w:fldCharType="end"/>
      </w:r>
    </w:p>
    <w:p w14:paraId="43DC1624" w14:textId="77777777" w:rsidR="00F712AA" w:rsidRDefault="00F712AA" w:rsidP="009639BD">
      <w:pPr>
        <w:widowControl w:val="0"/>
        <w:autoSpaceDE w:val="0"/>
        <w:autoSpaceDN w:val="0"/>
        <w:adjustRightInd w:val="0"/>
        <w:spacing w:after="0" w:line="360" w:lineRule="auto"/>
        <w:rPr>
          <w:rFonts w:asciiTheme="majorBidi" w:hAnsiTheme="majorBidi" w:cstheme="majorBidi"/>
          <w:b/>
          <w:bCs/>
          <w:szCs w:val="24"/>
        </w:rPr>
      </w:pPr>
    </w:p>
    <w:sectPr w:rsidR="00F712AA" w:rsidSect="006468A6">
      <w:headerReference w:type="default" r:id="rId22"/>
      <w:footerReference w:type="default" r:id="rId23"/>
      <w:pgSz w:w="12240" w:h="15840" w:code="1"/>
      <w:pgMar w:top="1440" w:right="1701" w:bottom="1440" w:left="1701" w:header="720" w:footer="720" w:gutter="0"/>
      <w:cols w:space="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8A05" w14:textId="77777777" w:rsidR="00E02A0D" w:rsidRDefault="00E02A0D" w:rsidP="009A53B8">
      <w:pPr>
        <w:spacing w:after="0" w:line="240" w:lineRule="auto"/>
      </w:pPr>
      <w:r>
        <w:separator/>
      </w:r>
    </w:p>
  </w:endnote>
  <w:endnote w:type="continuationSeparator" w:id="0">
    <w:p w14:paraId="4048DAF8" w14:textId="77777777" w:rsidR="00E02A0D" w:rsidRDefault="00E02A0D" w:rsidP="009A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TT5843c571+20">
    <w:altName w:val="Times New Roman"/>
    <w:panose1 w:val="00000000000000000000"/>
    <w:charset w:val="00"/>
    <w:family w:val="roman"/>
    <w:notTrueType/>
    <w:pitch w:val="default"/>
  </w:font>
  <w:font w:name="AdvTT5843c571+fb">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DejaVu Sans">
    <w:altName w:val="Arial"/>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crosoft Himalaya">
    <w:panose1 w:val="01010100010101010101"/>
    <w:charset w:val="00"/>
    <w:family w:val="auto"/>
    <w:pitch w:val="variable"/>
    <w:sig w:usb0="80000003" w:usb1="00010000" w:usb2="00000040" w:usb3="00000000" w:csb0="00000001" w:csb1="00000000"/>
  </w:font>
  <w:font w:name="NexusSansWebPro">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rsidRPr="004E213A" w14:paraId="3339FF63" w14:textId="77777777" w:rsidTr="009C728A">
      <w:tc>
        <w:tcPr>
          <w:tcW w:w="4500" w:type="pct"/>
          <w:tcBorders>
            <w:top w:val="single" w:sz="4" w:space="0" w:color="000000" w:themeColor="text1"/>
          </w:tcBorders>
        </w:tcPr>
        <w:p w14:paraId="7A99D731" w14:textId="54C49D52" w:rsidR="00837CB8" w:rsidRPr="004E213A" w:rsidRDefault="00D15E2C" w:rsidP="00166EED">
          <w:pPr>
            <w:spacing w:after="0" w:line="240" w:lineRule="auto"/>
            <w:jc w:val="right"/>
            <w:rPr>
              <w:bCs/>
            </w:rPr>
          </w:pPr>
          <w:r>
            <w:t>The Effect of Company Operational</w:t>
          </w:r>
          <w:r w:rsidR="00837CB8" w:rsidRPr="004E213A">
            <w:rPr>
              <w:rFonts w:eastAsia="Times New Roman" w:cs="Times New Roman"/>
              <w:bCs/>
              <w:color w:val="222222"/>
              <w:szCs w:val="24"/>
            </w:rPr>
            <w:t xml:space="preserve"> </w:t>
          </w:r>
          <w:proofErr w:type="gramStart"/>
          <w:r w:rsidR="00837CB8" w:rsidRPr="004E213A">
            <w:rPr>
              <w:rFonts w:eastAsia="Times New Roman" w:cs="Times New Roman"/>
              <w:bCs/>
              <w:color w:val="222222"/>
              <w:szCs w:val="24"/>
            </w:rPr>
            <w:t>…..</w:t>
          </w:r>
          <w:proofErr w:type="gramEnd"/>
        </w:p>
      </w:tc>
      <w:tc>
        <w:tcPr>
          <w:tcW w:w="500" w:type="pct"/>
          <w:tcBorders>
            <w:top w:val="single" w:sz="4" w:space="0" w:color="C0504D" w:themeColor="accent2"/>
          </w:tcBorders>
          <w:shd w:val="clear" w:color="auto" w:fill="000000" w:themeFill="text1"/>
        </w:tcPr>
        <w:p w14:paraId="7AE16058" w14:textId="77777777" w:rsidR="00837CB8" w:rsidRPr="004E213A" w:rsidRDefault="00837CB8">
          <w:pPr>
            <w:pStyle w:val="Header"/>
            <w:rPr>
              <w:bCs/>
              <w:color w:val="FFFFFF" w:themeColor="background1"/>
            </w:rPr>
          </w:pPr>
          <w:r w:rsidRPr="004E213A">
            <w:rPr>
              <w:bCs/>
            </w:rPr>
            <w:fldChar w:fldCharType="begin"/>
          </w:r>
          <w:r w:rsidRPr="004E213A">
            <w:rPr>
              <w:bCs/>
            </w:rPr>
            <w:instrText xml:space="preserve"> PAGE   \* MERGEFORMAT </w:instrText>
          </w:r>
          <w:r w:rsidRPr="004E213A">
            <w:rPr>
              <w:bCs/>
            </w:rPr>
            <w:fldChar w:fldCharType="separate"/>
          </w:r>
          <w:r w:rsidR="006338CC" w:rsidRPr="004E213A">
            <w:rPr>
              <w:bCs/>
              <w:noProof/>
              <w:color w:val="FFFFFF" w:themeColor="background1"/>
            </w:rPr>
            <w:t>1319</w:t>
          </w:r>
          <w:r w:rsidRPr="004E213A">
            <w:rPr>
              <w:bCs/>
              <w:noProof/>
              <w:color w:val="FFFFFF" w:themeColor="background1"/>
            </w:rPr>
            <w:fldChar w:fldCharType="end"/>
          </w:r>
        </w:p>
      </w:tc>
    </w:tr>
  </w:tbl>
  <w:p w14:paraId="530756B3" w14:textId="77777777" w:rsidR="00837CB8" w:rsidRDefault="00837CB8" w:rsidP="003D5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rsidRPr="004E213A" w14:paraId="33F4E87A" w14:textId="77777777" w:rsidTr="00846EDD">
      <w:tc>
        <w:tcPr>
          <w:tcW w:w="4500" w:type="pct"/>
          <w:tcBorders>
            <w:top w:val="single" w:sz="4" w:space="0" w:color="000000" w:themeColor="text1"/>
          </w:tcBorders>
        </w:tcPr>
        <w:p w14:paraId="2599C910" w14:textId="317107ED" w:rsidR="00837CB8" w:rsidRPr="004E213A" w:rsidRDefault="00533DB9" w:rsidP="001C43B3">
          <w:pPr>
            <w:spacing w:after="0" w:line="240" w:lineRule="auto"/>
            <w:jc w:val="right"/>
            <w:rPr>
              <w:rFonts w:asciiTheme="majorBidi" w:hAnsiTheme="majorBidi" w:cstheme="majorBidi"/>
              <w:bCs/>
              <w:szCs w:val="24"/>
            </w:rPr>
          </w:pPr>
          <w:r>
            <w:t xml:space="preserve">The Effect of </w:t>
          </w:r>
          <w:r w:rsidR="00D15E2C">
            <w:t>Company Operational</w:t>
          </w:r>
          <w:r w:rsidR="00837CB8" w:rsidRPr="004E213A">
            <w:rPr>
              <w:rFonts w:asciiTheme="majorBidi" w:hAnsiTheme="majorBidi" w:cstheme="majorBidi"/>
              <w:bCs/>
            </w:rPr>
            <w:t xml:space="preserve"> </w:t>
          </w:r>
          <w:proofErr w:type="gramStart"/>
          <w:r w:rsidR="00837CB8" w:rsidRPr="004E213A">
            <w:rPr>
              <w:rFonts w:eastAsia="Times New Roman" w:cs="Times New Roman"/>
              <w:bCs/>
              <w:color w:val="222222"/>
              <w:szCs w:val="24"/>
            </w:rPr>
            <w:t>…..</w:t>
          </w:r>
          <w:proofErr w:type="gramEnd"/>
        </w:p>
      </w:tc>
      <w:tc>
        <w:tcPr>
          <w:tcW w:w="500" w:type="pct"/>
          <w:tcBorders>
            <w:top w:val="single" w:sz="4" w:space="0" w:color="C0504D" w:themeColor="accent2"/>
          </w:tcBorders>
          <w:shd w:val="clear" w:color="auto" w:fill="000000" w:themeFill="text1"/>
        </w:tcPr>
        <w:p w14:paraId="17C321D0" w14:textId="77777777" w:rsidR="00837CB8" w:rsidRPr="004E213A" w:rsidRDefault="00837CB8">
          <w:pPr>
            <w:pStyle w:val="Header"/>
            <w:rPr>
              <w:bCs/>
              <w:color w:val="FFFFFF" w:themeColor="background1"/>
            </w:rPr>
          </w:pPr>
          <w:r w:rsidRPr="004E213A">
            <w:rPr>
              <w:bCs/>
            </w:rPr>
            <w:fldChar w:fldCharType="begin"/>
          </w:r>
          <w:r w:rsidRPr="004E213A">
            <w:rPr>
              <w:bCs/>
            </w:rPr>
            <w:instrText xml:space="preserve"> PAGE   \* MERGEFORMAT </w:instrText>
          </w:r>
          <w:r w:rsidRPr="004E213A">
            <w:rPr>
              <w:bCs/>
            </w:rPr>
            <w:fldChar w:fldCharType="separate"/>
          </w:r>
          <w:r w:rsidR="006338CC" w:rsidRPr="004E213A">
            <w:rPr>
              <w:bCs/>
              <w:noProof/>
              <w:color w:val="FFFFFF" w:themeColor="background1"/>
            </w:rPr>
            <w:t>1320</w:t>
          </w:r>
          <w:r w:rsidRPr="004E213A">
            <w:rPr>
              <w:bCs/>
              <w:noProof/>
              <w:color w:val="FFFFFF" w:themeColor="background1"/>
            </w:rPr>
            <w:fldChar w:fldCharType="end"/>
          </w:r>
        </w:p>
      </w:tc>
    </w:tr>
  </w:tbl>
  <w:p w14:paraId="4C280C46" w14:textId="77777777" w:rsidR="00744EF3" w:rsidRDefault="00744E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395E" w14:textId="77777777" w:rsidR="00E02A0D" w:rsidRDefault="00E02A0D" w:rsidP="009A53B8">
      <w:pPr>
        <w:spacing w:after="0" w:line="240" w:lineRule="auto"/>
      </w:pPr>
      <w:r>
        <w:separator/>
      </w:r>
    </w:p>
  </w:footnote>
  <w:footnote w:type="continuationSeparator" w:id="0">
    <w:p w14:paraId="5E0E73F6" w14:textId="77777777" w:rsidR="00E02A0D" w:rsidRDefault="00E02A0D" w:rsidP="009A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34FC" w14:textId="77777777" w:rsidR="00837CB8" w:rsidRDefault="00837CB8" w:rsidP="001C43B3">
    <w:pPr>
      <w:pStyle w:val="Header"/>
      <w:tabs>
        <w:tab w:val="clear" w:pos="4680"/>
        <w:tab w:val="clear" w:pos="9360"/>
      </w:tabs>
      <w:ind w:left="-709" w:right="-563"/>
      <w:rPr>
        <w:sz w:val="20"/>
      </w:rPr>
    </w:pPr>
    <w:r>
      <w:rPr>
        <w:sz w:val="20"/>
      </w:rPr>
      <w:t>Indonesian Interdisciplinary Journal of Sharia Economics (IIJSE)</w:t>
    </w:r>
    <w:r>
      <w:rPr>
        <w:sz w:val="20"/>
      </w:rPr>
      <w:tab/>
    </w:r>
    <w:r>
      <w:rPr>
        <w:sz w:val="20"/>
      </w:rPr>
      <w:tab/>
    </w:r>
    <w:r>
      <w:rPr>
        <w:sz w:val="20"/>
      </w:rPr>
      <w:tab/>
    </w:r>
    <w:r>
      <w:rPr>
        <w:sz w:val="20"/>
      </w:rPr>
      <w:tab/>
    </w:r>
    <w:r>
      <w:rPr>
        <w:sz w:val="20"/>
      </w:rPr>
      <w:tab/>
      <w:t xml:space="preserve"> Vol. 1. No. 1. Juli 2019</w:t>
    </w:r>
  </w:p>
  <w:p w14:paraId="592687AE" w14:textId="77777777" w:rsidR="00837CB8" w:rsidRDefault="00837CB8" w:rsidP="001C43B3">
    <w:pPr>
      <w:pStyle w:val="Header"/>
      <w:tabs>
        <w:tab w:val="clear" w:pos="4680"/>
        <w:tab w:val="clear" w:pos="9360"/>
      </w:tabs>
      <w:ind w:left="-709" w:right="-563"/>
      <w:jc w:val="left"/>
    </w:pPr>
    <w:r>
      <w:rPr>
        <w:noProof/>
        <w:sz w:val="20"/>
      </w:rPr>
      <mc:AlternateContent>
        <mc:Choice Requires="wps">
          <w:drawing>
            <wp:anchor distT="0" distB="0" distL="0" distR="0" simplePos="0" relativeHeight="251655680" behindDoc="0" locked="0" layoutInCell="1" allowOverlap="1" wp14:anchorId="19BFD0A1" wp14:editId="308731B7">
              <wp:simplePos x="0" y="0"/>
              <wp:positionH relativeFrom="column">
                <wp:posOffset>-438150</wp:posOffset>
              </wp:positionH>
              <wp:positionV relativeFrom="paragraph">
                <wp:posOffset>205739</wp:posOffset>
              </wp:positionV>
              <wp:extent cx="673417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19050" cap="flat" cmpd="sng">
                        <a:solidFill>
                          <a:srgbClr val="000000"/>
                        </a:solidFill>
                        <a:prstDash val="solid"/>
                        <a:miter/>
                        <a:headEnd/>
                        <a:tailEnd/>
                      </a:ln>
                    </wps:spPr>
                    <wps:bodyPr/>
                  </wps:wsp>
                </a:graphicData>
              </a:graphic>
            </wp:anchor>
          </w:drawing>
        </mc:Choice>
        <mc:Fallback xmlns:w16du="http://schemas.microsoft.com/office/word/2023/wordml/word16du" xmlns:oel="http://schemas.microsoft.com/office/2019/extlst">
          <w:pict>
            <v:line w14:anchorId="7E918C0E" id="Straight Connector 4" o:spid="_x0000_s1026" style="position:absolute;z-index:251655680;visibility:visible;mso-wrap-style:square;mso-wrap-distance-left:0;mso-wrap-distance-top:0;mso-wrap-distance-right:0;mso-wrap-distance-bottom:0;mso-position-horizontal:absolute;mso-position-horizontal-relative:text;mso-position-vertical:absolute;mso-position-vertical-relative:text" from="-34.5pt,16.2pt" to="495.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" strokeweight="1.5pt">
              <v:stroke joinstyle="miter"/>
              <o:lock v:ext="edit" shapetype="f"/>
            </v:line>
          </w:pict>
        </mc:Fallback>
      </mc:AlternateContent>
    </w:r>
    <w:r>
      <w:rPr>
        <w:sz w:val="20"/>
      </w:rPr>
      <w:t>e-ISSN:</w:t>
    </w:r>
    <w:r>
      <w:t xml:space="preserve"> </w:t>
    </w:r>
    <w:r>
      <w:rPr>
        <w:sz w:val="20"/>
      </w:rPr>
      <w:t>2621-606X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Hal: 1-12</w:t>
    </w:r>
  </w:p>
  <w:p w14:paraId="362FF9C6" w14:textId="77777777" w:rsidR="00837CB8" w:rsidRDefault="00837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6B92" w14:textId="3ACD4CB4" w:rsidR="00837CB8" w:rsidRDefault="00837CB8" w:rsidP="00286840">
    <w:pPr>
      <w:pStyle w:val="Header"/>
      <w:tabs>
        <w:tab w:val="clear" w:pos="4680"/>
        <w:tab w:val="clear" w:pos="9360"/>
      </w:tabs>
      <w:ind w:right="49"/>
      <w:rPr>
        <w:sz w:val="20"/>
      </w:rPr>
    </w:pPr>
    <w:r>
      <w:rPr>
        <w:sz w:val="20"/>
      </w:rPr>
      <w:t>Indonesian Interdisciplinary Journal of Sharia Economics (</w:t>
    </w:r>
    <w:r w:rsidR="004B02B7">
      <w:rPr>
        <w:sz w:val="20"/>
      </w:rPr>
      <w:t>IIJSE)</w:t>
    </w:r>
    <w:r w:rsidR="004B02B7">
      <w:rPr>
        <w:sz w:val="20"/>
      </w:rPr>
      <w:tab/>
    </w:r>
    <w:r w:rsidR="004B02B7">
      <w:rPr>
        <w:sz w:val="20"/>
      </w:rPr>
      <w:tab/>
      <w:t xml:space="preserve">        </w:t>
    </w:r>
    <w:r w:rsidR="000403BC">
      <w:rPr>
        <w:sz w:val="20"/>
      </w:rPr>
      <w:t xml:space="preserve">   </w:t>
    </w:r>
    <w:r w:rsidR="004B02B7">
      <w:rPr>
        <w:sz w:val="20"/>
      </w:rPr>
      <w:t xml:space="preserve">  Vol. </w:t>
    </w:r>
    <w:r w:rsidR="004245ED">
      <w:rPr>
        <w:sz w:val="20"/>
      </w:rPr>
      <w:t>8</w:t>
    </w:r>
    <w:r w:rsidR="004B02B7">
      <w:rPr>
        <w:sz w:val="20"/>
      </w:rPr>
      <w:t xml:space="preserve">. No. </w:t>
    </w:r>
    <w:r w:rsidR="004245ED">
      <w:rPr>
        <w:sz w:val="20"/>
      </w:rPr>
      <w:t>1</w:t>
    </w:r>
    <w:r>
      <w:rPr>
        <w:sz w:val="20"/>
      </w:rPr>
      <w:t xml:space="preserve"> </w:t>
    </w:r>
    <w:r w:rsidR="004B02B7">
      <w:rPr>
        <w:sz w:val="20"/>
      </w:rPr>
      <w:t>(</w:t>
    </w:r>
    <w:r>
      <w:rPr>
        <w:sz w:val="20"/>
      </w:rPr>
      <w:t>202</w:t>
    </w:r>
    <w:r w:rsidR="004245ED">
      <w:rPr>
        <w:sz w:val="20"/>
      </w:rPr>
      <w:t>5</w:t>
    </w:r>
    <w:r w:rsidR="004B02B7">
      <w:rPr>
        <w:sz w:val="20"/>
      </w:rPr>
      <w:t>)</w:t>
    </w:r>
  </w:p>
  <w:p w14:paraId="39797085" w14:textId="0653B451" w:rsidR="00837CB8" w:rsidRPr="00D91832" w:rsidRDefault="00837CB8" w:rsidP="00E337D6">
    <w:pPr>
      <w:pStyle w:val="Header"/>
      <w:tabs>
        <w:tab w:val="clear" w:pos="4680"/>
        <w:tab w:val="clear" w:pos="9360"/>
      </w:tabs>
      <w:ind w:left="-709" w:right="49" w:firstLine="709"/>
      <w:rPr>
        <w:sz w:val="20"/>
        <w:lang w:val="id-ID"/>
      </w:rPr>
    </w:pP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t xml:space="preserve">   </w:t>
    </w:r>
    <w:r w:rsidR="006A6601">
      <w:rPr>
        <w:sz w:val="20"/>
      </w:rPr>
      <w:t xml:space="preserve">     </w:t>
    </w:r>
    <w:r>
      <w:rPr>
        <w:sz w:val="20"/>
      </w:rPr>
      <w:t xml:space="preserve">Page: </w:t>
    </w:r>
    <w:r w:rsidR="002734D8">
      <w:rPr>
        <w:sz w:val="20"/>
      </w:rPr>
      <w:t>8</w:t>
    </w:r>
    <w:r w:rsidR="00D15E2C">
      <w:rPr>
        <w:sz w:val="20"/>
      </w:rPr>
      <w:t>54</w:t>
    </w:r>
    <w:r w:rsidR="004245ED">
      <w:rPr>
        <w:sz w:val="20"/>
      </w:rPr>
      <w:t>-</w:t>
    </w:r>
    <w:r w:rsidR="002734D8">
      <w:rPr>
        <w:sz w:val="20"/>
      </w:rPr>
      <w:t>8</w:t>
    </w:r>
    <w:r w:rsidR="00D15E2C">
      <w:rPr>
        <w:sz w:val="20"/>
      </w:rPr>
      <w:t>72</w:t>
    </w:r>
  </w:p>
  <w:p w14:paraId="17470FEC" w14:textId="13E4C0BD" w:rsidR="007F0073" w:rsidRPr="005227DD" w:rsidRDefault="00837CB8" w:rsidP="005227DD">
    <w:pPr>
      <w:spacing w:after="0" w:line="240" w:lineRule="auto"/>
      <w:rPr>
        <w:rFonts w:eastAsia="Times New Roman"/>
        <w:b/>
        <w:sz w:val="20"/>
        <w:szCs w:val="18"/>
        <w:vertAlign w:val="superscript"/>
      </w:rPr>
    </w:pPr>
    <w:r w:rsidRPr="00082C14">
      <w:rPr>
        <w:b/>
        <w:bCs/>
        <w:noProof/>
        <w:sz w:val="20"/>
      </w:rPr>
      <mc:AlternateContent>
        <mc:Choice Requires="wps">
          <w:drawing>
            <wp:anchor distT="0" distB="0" distL="0" distR="0" simplePos="0" relativeHeight="251627008" behindDoc="0" locked="0" layoutInCell="1" allowOverlap="1" wp14:anchorId="7322EB7F" wp14:editId="406AC497">
              <wp:simplePos x="0" y="0"/>
              <wp:positionH relativeFrom="column">
                <wp:posOffset>-17145</wp:posOffset>
              </wp:positionH>
              <wp:positionV relativeFrom="paragraph">
                <wp:posOffset>26670</wp:posOffset>
              </wp:positionV>
              <wp:extent cx="5600700" cy="0"/>
              <wp:effectExtent l="0" t="0" r="19050" b="19050"/>
              <wp:wrapNone/>
              <wp:docPr id="4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4E78D03E" id="Straight Connector 4" o:spid="_x0000_s1026" style="position:absolute;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35pt,2.1pt" to="439.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" strokeweight="1.5pt">
              <v:stroke joinstyle="miter"/>
              <o:lock v:ext="edit" shapetype="f"/>
            </v:line>
          </w:pict>
        </mc:Fallback>
      </mc:AlternateContent>
    </w:r>
    <w:r w:rsidRPr="00082C14">
      <w:rPr>
        <w:rFonts w:asciiTheme="majorBidi" w:hAnsiTheme="majorBidi" w:cstheme="majorBidi"/>
        <w:b/>
        <w:bCs/>
        <w:noProof/>
        <w:szCs w:val="24"/>
      </w:rPr>
      <mc:AlternateContent>
        <mc:Choice Requires="wps">
          <w:drawing>
            <wp:anchor distT="0" distB="0" distL="114300" distR="114300" simplePos="0" relativeHeight="251653632" behindDoc="0" locked="0" layoutInCell="1" allowOverlap="1" wp14:anchorId="5E7875F8" wp14:editId="4E528575">
              <wp:simplePos x="0" y="0"/>
              <wp:positionH relativeFrom="leftMargin">
                <wp:posOffset>0</wp:posOffset>
              </wp:positionH>
              <wp:positionV relativeFrom="page">
                <wp:posOffset>-57149</wp:posOffset>
              </wp:positionV>
              <wp:extent cx="7765200" cy="57150"/>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57150"/>
                      </a:xfrm>
                      <a:prstGeom prst="rect">
                        <a:avLst/>
                      </a:prstGeom>
                      <a:solidFill>
                        <a:srgbClr val="F2F2F2"/>
                      </a:solidFill>
                      <a:ln w="9525">
                        <a:noFill/>
                        <a:miter lim="800000"/>
                        <a:headEnd/>
                        <a:tailEnd/>
                      </a:ln>
                    </wps:spPr>
                    <wps:txbx>
                      <w:txbxContent>
                        <w:p w14:paraId="73CAD129" w14:textId="77777777" w:rsidR="00837CB8" w:rsidRDefault="00837CB8" w:rsidP="00DB249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E7875F8" id="_x0000_t202" coordsize="21600,21600" o:spt="202" path="m,l,21600r21600,l21600,xe">
              <v:stroke joinstyle="miter"/>
              <v:path gradientshapeok="t" o:connecttype="rect"/>
            </v:shapetype>
            <v:shape id="ODT_ATTR_LBL_SHAPE" o:spid="_x0000_s1026" type="#_x0000_t202" style="position:absolute;left:0;text-align:left;margin-left:0;margin-top:-4.5pt;width:611.45pt;height:4.5pt;flip:y;z-index:251653632;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" fillcolor="#f2f2f2" stroked="f">
              <v:textbox inset=",0,,0">
                <w:txbxContent>
                  <w:p w14:paraId="73CAD129" w14:textId="77777777" w:rsidR="00837CB8" w:rsidRDefault="00837CB8" w:rsidP="00DB2491">
                    <w:pPr>
                      <w:contextualSpacing/>
                    </w:pPr>
                  </w:p>
                </w:txbxContent>
              </v:textbox>
              <w10:wrap anchorx="margin" anchory="page"/>
            </v:shape>
          </w:pict>
        </mc:Fallback>
      </mc:AlternateContent>
    </w:r>
    <w:r w:rsidRPr="00082C14">
      <w:rPr>
        <w:b/>
        <w:bCs/>
        <w:noProof/>
      </w:rPr>
      <mc:AlternateContent>
        <mc:Choice Requires="wps">
          <w:drawing>
            <wp:anchor distT="0" distB="0" distL="114300" distR="114300" simplePos="0" relativeHeight="251667968" behindDoc="0" locked="0" layoutInCell="1" allowOverlap="1" wp14:anchorId="54E67E3E" wp14:editId="2985FCB9">
              <wp:simplePos x="0" y="0"/>
              <wp:positionH relativeFrom="leftMargin">
                <wp:posOffset>0</wp:posOffset>
              </wp:positionH>
              <wp:positionV relativeFrom="page">
                <wp:posOffset>-45719</wp:posOffset>
              </wp:positionV>
              <wp:extent cx="7765200" cy="45719"/>
              <wp:effectExtent l="0" t="0" r="2540" b="0"/>
              <wp:wrapNone/>
              <wp:docPr id="2"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2CC98C44" w14:textId="77777777" w:rsidR="00837CB8" w:rsidRDefault="00837CB8" w:rsidP="0046779F">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54E67E3E" id="_x0000_s1027" type="#_x0000_t202" style="position:absolute;left:0;text-align:left;margin-left:0;margin-top:-3.6pt;width:611.45pt;height:3.6pt;flip:y;z-index:251667968;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" fillcolor="#f2f2f2" stroked="f">
              <v:textbox inset=",0,,0">
                <w:txbxContent>
                  <w:p w14:paraId="2CC98C44" w14:textId="77777777" w:rsidR="00837CB8" w:rsidRDefault="00837CB8" w:rsidP="0046779F">
                    <w:pPr>
                      <w:spacing w:line="240" w:lineRule="auto"/>
                      <w:contextualSpacing/>
                    </w:pPr>
                  </w:p>
                </w:txbxContent>
              </v:textbox>
              <w10:wrap anchorx="margin" anchory="page"/>
            </v:shape>
          </w:pict>
        </mc:Fallback>
      </mc:AlternateContent>
    </w:r>
    <w:r w:rsidRPr="00082C14">
      <w:rPr>
        <w:b/>
        <w:bCs/>
        <w:noProof/>
        <w:szCs w:val="24"/>
      </w:rPr>
      <mc:AlternateContent>
        <mc:Choice Requires="wps">
          <w:drawing>
            <wp:anchor distT="0" distB="0" distL="114300" distR="114300" simplePos="0" relativeHeight="251677184" behindDoc="0" locked="0" layoutInCell="1" allowOverlap="1" wp14:anchorId="67C38F61" wp14:editId="54607745">
              <wp:simplePos x="0" y="0"/>
              <wp:positionH relativeFrom="leftMargin">
                <wp:posOffset>0</wp:posOffset>
              </wp:positionH>
              <wp:positionV relativeFrom="page">
                <wp:posOffset>-45719</wp:posOffset>
              </wp:positionV>
              <wp:extent cx="7765200" cy="45719"/>
              <wp:effectExtent l="0" t="0" r="0" b="0"/>
              <wp:wrapNone/>
              <wp:docPr id="4"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5CFF8065" w14:textId="77777777" w:rsidR="00837CB8" w:rsidRDefault="00837CB8" w:rsidP="002604D4">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67C38F61" id="_x0000_s1028" type="#_x0000_t202" style="position:absolute;left:0;text-align:left;margin-left:0;margin-top:-3.6pt;width:611.45pt;height:3.6pt;flip:y;z-index:25167718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" fillcolor="#f2f2f2" stroked="f">
              <v:textbox inset=",0,,0">
                <w:txbxContent>
                  <w:p w14:paraId="5CFF8065" w14:textId="77777777" w:rsidR="00837CB8" w:rsidRDefault="00837CB8" w:rsidP="002604D4">
                    <w:pPr>
                      <w:contextualSpacing/>
                    </w:pPr>
                  </w:p>
                </w:txbxContent>
              </v:textbox>
              <w10:wrap anchorx="margin" anchory="page"/>
            </v:shape>
          </w:pict>
        </mc:Fallback>
      </mc:AlternateContent>
    </w:r>
    <w:r w:rsidR="00051C1E" w:rsidRPr="00082C14">
      <w:rPr>
        <w:b/>
        <w:bCs/>
        <w:szCs w:val="24"/>
      </w:rPr>
      <w:t xml:space="preserve"> </w:t>
    </w:r>
    <w:r w:rsidRPr="00082C14">
      <w:rPr>
        <w:b/>
        <w:bCs/>
        <w:noProof/>
      </w:rPr>
      <mc:AlternateContent>
        <mc:Choice Requires="wps">
          <w:drawing>
            <wp:anchor distT="0" distB="0" distL="114300" distR="114300" simplePos="0" relativeHeight="251687424" behindDoc="0" locked="0" layoutInCell="1" hidden="0" allowOverlap="1" wp14:anchorId="16A58069" wp14:editId="663BFED4">
              <wp:simplePos x="0" y="0"/>
              <wp:positionH relativeFrom="leftMargin">
                <wp:posOffset>-4761</wp:posOffset>
              </wp:positionH>
              <wp:positionV relativeFrom="page">
                <wp:posOffset>-50480</wp:posOffset>
              </wp:positionV>
              <wp:extent cx="7774725" cy="55244"/>
              <wp:effectExtent l="0" t="0" r="0" b="0"/>
              <wp:wrapNone/>
              <wp:docPr id="16" name="Rectangle 16"/>
              <wp:cNvGraphicFramePr/>
              <a:graphic xmlns:a="http://schemas.openxmlformats.org/drawingml/2006/main">
                <a:graphicData uri="http://schemas.microsoft.com/office/word/2010/wordprocessingShape">
                  <wps:wsp>
                    <wps:cNvSpPr/>
                    <wps:spPr>
                      <a:xfrm rot="10800000" flipH="1">
                        <a:off x="1463400" y="3757141"/>
                        <a:ext cx="7765200" cy="45719"/>
                      </a:xfrm>
                      <a:prstGeom prst="rect">
                        <a:avLst/>
                      </a:prstGeom>
                      <a:solidFill>
                        <a:srgbClr val="F2F2F2"/>
                      </a:solidFill>
                      <a:ln>
                        <a:noFill/>
                      </a:ln>
                    </wps:spPr>
                    <wps:txbx>
                      <w:txbxContent>
                        <w:p w14:paraId="6960356B" w14:textId="77777777" w:rsidR="00837CB8" w:rsidRDefault="00837CB8" w:rsidP="00CF4F4C">
                          <w:pPr>
                            <w:textDirection w:val="btLr"/>
                          </w:pPr>
                        </w:p>
                      </w:txbxContent>
                    </wps:txbx>
                    <wps:bodyPr spcFirstLastPara="1" wrap="square" lIns="91425" tIns="0" rIns="91425" bIns="0" anchor="t" anchorCtr="0">
                      <a:noAutofit/>
                    </wps:bodyPr>
                  </wps:wsp>
                </a:graphicData>
              </a:graphic>
            </wp:anchor>
          </w:drawing>
        </mc:Choice>
        <mc:Fallback>
          <w:pict>
            <v:rect w14:anchorId="16A58069" id="Rectangle 16" o:spid="_x0000_s1029" style="position:absolute;left:0;text-align:left;margin-left:-.35pt;margin-top:-3.95pt;width:612.2pt;height:4.35pt;rotation:180;flip:x;z-index:251687424;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" fillcolor="#f2f2f2" stroked="f">
              <v:textbox inset="2.53958mm,0,2.53958mm,0">
                <w:txbxContent>
                  <w:p w14:paraId="6960356B" w14:textId="77777777" w:rsidR="00837CB8" w:rsidRDefault="00837CB8" w:rsidP="00CF4F4C">
                    <w:pPr>
                      <w:textDirection w:val="btLr"/>
                    </w:pPr>
                  </w:p>
                </w:txbxContent>
              </v:textbox>
              <w10:wrap anchorx="margin" anchory="page"/>
            </v:rect>
          </w:pict>
        </mc:Fallback>
      </mc:AlternateContent>
    </w:r>
    <w:r w:rsidR="00051C1E" w:rsidRPr="00082C14">
      <w:rPr>
        <w:rFonts w:asciiTheme="majorBidi" w:hAnsiTheme="majorBidi" w:cstheme="majorBidi"/>
        <w:b/>
        <w:bCs/>
        <w:lang w:val="id-ID"/>
      </w:rPr>
      <w:t xml:space="preserve"> </w:t>
    </w:r>
    <w:r w:rsidR="007F0073" w:rsidRPr="007F0073">
      <w:rPr>
        <w:b/>
        <w:bCs/>
        <w:szCs w:val="24"/>
      </w:rPr>
      <w:t xml:space="preserve"> </w:t>
    </w:r>
  </w:p>
  <w:p w14:paraId="3991CE6A" w14:textId="3F1CE411" w:rsidR="005E51E5" w:rsidRDefault="0021186D" w:rsidP="005E51E5">
    <w:pPr>
      <w:pStyle w:val="Heading1"/>
      <w:spacing w:line="240" w:lineRule="auto"/>
      <w:ind w:right="49"/>
      <w:jc w:val="center"/>
    </w:pPr>
    <w:r>
      <w:t>THE EFFECT OF COMPANY OPERATIONAL</w:t>
    </w:r>
    <w:r w:rsidRPr="00173285">
      <w:t xml:space="preserve"> COMPLEXITY, PROFITABILITY, SOLVENCY, AUDIT TENURE, </w:t>
    </w:r>
    <w:r>
      <w:t>A</w:t>
    </w:r>
    <w:r w:rsidRPr="00173285">
      <w:t xml:space="preserve">ND FINANCIAL DISTRESS </w:t>
    </w:r>
    <w:r>
      <w:t>O</w:t>
    </w:r>
    <w:r w:rsidRPr="00173285">
      <w:t xml:space="preserve">N AUDIT DELAY DURING </w:t>
    </w:r>
    <w:r>
      <w:t>T</w:t>
    </w:r>
    <w:r w:rsidRPr="00173285">
      <w:t>HE PANDEMIC</w:t>
    </w:r>
  </w:p>
  <w:p w14:paraId="6504CFFA" w14:textId="77777777" w:rsidR="005E51E5" w:rsidRPr="005E51E5" w:rsidRDefault="005E51E5" w:rsidP="005E51E5">
    <w:pPr>
      <w:spacing w:after="0" w:line="240" w:lineRule="auto"/>
      <w:rPr>
        <w:lang w:val="en-GB"/>
      </w:rPr>
    </w:pPr>
  </w:p>
  <w:p w14:paraId="0248A51A" w14:textId="09E1325E" w:rsidR="005E51E5" w:rsidRDefault="005E51E5" w:rsidP="005E51E5">
    <w:pPr>
      <w:pStyle w:val="BodyText"/>
      <w:spacing w:after="0" w:line="240" w:lineRule="auto"/>
      <w:ind w:right="49"/>
      <w:jc w:val="center"/>
      <w:rPr>
        <w:b/>
        <w:sz w:val="21"/>
      </w:rPr>
    </w:pPr>
    <w:bookmarkStart w:id="0" w:name="_Hlk169340228"/>
    <w:bookmarkStart w:id="1" w:name="_Hlk169533864"/>
    <w:r w:rsidRPr="005F567C">
      <w:rPr>
        <w:rFonts w:cs="Times New Roman"/>
        <w:b/>
        <w:noProof/>
      </w:rPr>
      <w:drawing>
        <wp:anchor distT="0" distB="0" distL="114300" distR="114300" simplePos="0" relativeHeight="251697664" behindDoc="1" locked="0" layoutInCell="1" hidden="0" allowOverlap="1" wp14:anchorId="67522E17" wp14:editId="7BAE4EDF">
          <wp:simplePos x="0" y="0"/>
          <wp:positionH relativeFrom="column">
            <wp:posOffset>-603885</wp:posOffset>
          </wp:positionH>
          <wp:positionV relativeFrom="paragraph">
            <wp:posOffset>327660</wp:posOffset>
          </wp:positionV>
          <wp:extent cx="1123950" cy="108839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93" t="4585" r="78444" b="67303"/>
                  <a:stretch>
                    <a:fillRect/>
                  </a:stretch>
                </pic:blipFill>
                <pic:spPr>
                  <a:xfrm>
                    <a:off x="0" y="0"/>
                    <a:ext cx="1123950" cy="1088390"/>
                  </a:xfrm>
                  <a:prstGeom prst="rect">
                    <a:avLst/>
                  </a:prstGeom>
                  <a:ln/>
                </pic:spPr>
              </pic:pic>
            </a:graphicData>
          </a:graphic>
        </wp:anchor>
      </w:drawing>
    </w:r>
    <w:bookmarkEnd w:id="0"/>
    <w:bookmarkEnd w:id="1"/>
    <w:proofErr w:type="spellStart"/>
    <w:r>
      <w:rPr>
        <w:b/>
      </w:rPr>
      <w:t>Fajar</w:t>
    </w:r>
    <w:proofErr w:type="spellEnd"/>
    <w:r>
      <w:rPr>
        <w:b/>
      </w:rPr>
      <w:t xml:space="preserve"> </w:t>
    </w:r>
    <w:proofErr w:type="spellStart"/>
    <w:r>
      <w:rPr>
        <w:b/>
      </w:rPr>
      <w:t>Apriyustiono</w:t>
    </w:r>
    <w:proofErr w:type="spellEnd"/>
    <w:r w:rsidRPr="003B207E">
      <w:rPr>
        <w:b/>
        <w:position w:val="10"/>
        <w:sz w:val="21"/>
        <w:vertAlign w:val="superscript"/>
      </w:rPr>
      <w:t>1</w:t>
    </w:r>
  </w:p>
  <w:p w14:paraId="37F2808E" w14:textId="103DB0E2" w:rsidR="005E51E5" w:rsidRDefault="005E51E5" w:rsidP="005E51E5">
    <w:pPr>
      <w:pStyle w:val="Heading1"/>
      <w:spacing w:line="240" w:lineRule="auto"/>
      <w:ind w:right="49"/>
      <w:jc w:val="center"/>
      <w:rPr>
        <w:spacing w:val="-57"/>
      </w:rPr>
    </w:pPr>
    <w:proofErr w:type="spellStart"/>
    <w:r>
      <w:t>Univers</w:t>
    </w:r>
    <w:proofErr w:type="spellEnd"/>
    <w:r w:rsidRPr="002D4F86">
      <w:rPr>
        <w:rFonts w:ascii="Microsoft Himalaya" w:hAnsi="Microsoft Himalaya"/>
        <w:spacing w:val="-20"/>
        <w:w w:val="1"/>
        <w:sz w:val="5"/>
        <w:lang w:val="id-ID"/>
      </w:rPr>
      <w:t>l</w:t>
    </w:r>
    <w:proofErr w:type="spellStart"/>
    <w:r>
      <w:t>itas</w:t>
    </w:r>
    <w:proofErr w:type="spellEnd"/>
    <w:r>
      <w:rPr>
        <w:spacing w:val="-6"/>
      </w:rPr>
      <w:t xml:space="preserve"> </w:t>
    </w:r>
    <w:proofErr w:type="spellStart"/>
    <w:r>
      <w:t>Muhammadi</w:t>
    </w:r>
    <w:proofErr w:type="spellEnd"/>
    <w:r w:rsidRPr="002D4F86">
      <w:rPr>
        <w:rFonts w:ascii="Microsoft Himalaya" w:hAnsi="Microsoft Himalaya"/>
        <w:spacing w:val="-20"/>
        <w:w w:val="1"/>
        <w:sz w:val="5"/>
        <w:lang w:val="id-ID"/>
      </w:rPr>
      <w:t>l</w:t>
    </w:r>
    <w:r>
      <w:t>yah Surakarta,</w:t>
    </w:r>
    <w:r>
      <w:rPr>
        <w:spacing w:val="-4"/>
      </w:rPr>
      <w:t xml:space="preserve"> </w:t>
    </w:r>
    <w:r>
      <w:t>Surakarta,</w:t>
    </w:r>
    <w:r>
      <w:rPr>
        <w:spacing w:val="-4"/>
      </w:rPr>
      <w:t xml:space="preserve"> </w:t>
    </w:r>
    <w:r>
      <w:t>Indonesia</w:t>
    </w:r>
  </w:p>
  <w:p w14:paraId="6D3AA492" w14:textId="77777777" w:rsidR="005E51E5" w:rsidRDefault="005E51E5" w:rsidP="005E51E5">
    <w:pPr>
      <w:pStyle w:val="Heading1"/>
      <w:spacing w:line="240" w:lineRule="auto"/>
      <w:ind w:right="49"/>
      <w:jc w:val="center"/>
    </w:pPr>
    <w:hyperlink r:id="rId2" w:history="1">
      <w:r w:rsidRPr="009F12FF">
        <w:rPr>
          <w:rStyle w:val="Hyperlink"/>
          <w:rFonts w:eastAsia="Calibri"/>
          <w:u w:color="0000FF"/>
        </w:rPr>
        <w:t>b200210171@student.ums.ac.id</w:t>
      </w:r>
    </w:hyperlink>
  </w:p>
  <w:p w14:paraId="7DC875D6" w14:textId="77777777" w:rsidR="005E51E5" w:rsidRDefault="005E51E5" w:rsidP="005E51E5">
    <w:pPr>
      <w:pStyle w:val="BodyText"/>
      <w:spacing w:after="0" w:line="240" w:lineRule="auto"/>
      <w:ind w:right="49"/>
      <w:jc w:val="center"/>
      <w:rPr>
        <w:b/>
      </w:rPr>
    </w:pPr>
  </w:p>
  <w:p w14:paraId="0E5D9C3D" w14:textId="77777777" w:rsidR="005E51E5" w:rsidRDefault="005E51E5" w:rsidP="005E51E5">
    <w:pPr>
      <w:spacing w:after="0" w:line="240" w:lineRule="auto"/>
      <w:ind w:right="49"/>
      <w:jc w:val="center"/>
      <w:rPr>
        <w:b/>
        <w:sz w:val="21"/>
      </w:rPr>
    </w:pPr>
    <w:r>
      <w:rPr>
        <w:b/>
      </w:rPr>
      <w:t>Muhammad Abdul Aris</w:t>
    </w:r>
    <w:r w:rsidRPr="003B207E">
      <w:rPr>
        <w:b/>
        <w:position w:val="10"/>
        <w:sz w:val="21"/>
        <w:vertAlign w:val="superscript"/>
      </w:rPr>
      <w:t>2</w:t>
    </w:r>
  </w:p>
  <w:p w14:paraId="383F8FA0" w14:textId="29B7973C" w:rsidR="005E51E5" w:rsidRDefault="005E51E5" w:rsidP="005E51E5">
    <w:pPr>
      <w:pStyle w:val="Heading1"/>
      <w:spacing w:line="240" w:lineRule="auto"/>
      <w:ind w:right="49"/>
      <w:jc w:val="center"/>
      <w:rPr>
        <w:spacing w:val="-57"/>
      </w:rPr>
    </w:pPr>
    <w:proofErr w:type="spellStart"/>
    <w:r>
      <w:t>Universi</w:t>
    </w:r>
    <w:proofErr w:type="spellEnd"/>
    <w:r w:rsidRPr="002D4F86">
      <w:rPr>
        <w:rFonts w:ascii="Microsoft Himalaya" w:hAnsi="Microsoft Himalaya"/>
        <w:spacing w:val="-20"/>
        <w:w w:val="1"/>
        <w:sz w:val="5"/>
        <w:lang w:val="id-ID"/>
      </w:rPr>
      <w:t>l</w:t>
    </w:r>
    <w:proofErr w:type="spellStart"/>
    <w:r>
      <w:t>tas</w:t>
    </w:r>
    <w:proofErr w:type="spellEnd"/>
    <w:r>
      <w:rPr>
        <w:spacing w:val="-6"/>
      </w:rPr>
      <w:t xml:space="preserve"> </w:t>
    </w:r>
    <w:proofErr w:type="spellStart"/>
    <w:r>
      <w:t>Muhammadi</w:t>
    </w:r>
    <w:proofErr w:type="spellEnd"/>
    <w:r w:rsidRPr="002D4F86">
      <w:rPr>
        <w:rFonts w:ascii="Microsoft Himalaya" w:hAnsi="Microsoft Himalaya"/>
        <w:spacing w:val="-20"/>
        <w:w w:val="1"/>
        <w:sz w:val="5"/>
        <w:lang w:val="id-ID"/>
      </w:rPr>
      <w:t>l</w:t>
    </w:r>
    <w:r>
      <w:t xml:space="preserve">yah </w:t>
    </w:r>
    <w:proofErr w:type="spellStart"/>
    <w:r>
      <w:t>Suraka</w:t>
    </w:r>
    <w:proofErr w:type="spellEnd"/>
    <w:r w:rsidRPr="002D4F86">
      <w:rPr>
        <w:rFonts w:ascii="Microsoft Himalaya" w:hAnsi="Microsoft Himalaya"/>
        <w:spacing w:val="-20"/>
        <w:w w:val="1"/>
        <w:sz w:val="5"/>
        <w:lang w:val="id-ID"/>
      </w:rPr>
      <w:t>l</w:t>
    </w:r>
    <w:proofErr w:type="spellStart"/>
    <w:r>
      <w:t>rta</w:t>
    </w:r>
    <w:proofErr w:type="spellEnd"/>
    <w:r>
      <w:t>,</w:t>
    </w:r>
    <w:r>
      <w:rPr>
        <w:spacing w:val="-4"/>
      </w:rPr>
      <w:t xml:space="preserve"> </w:t>
    </w:r>
    <w:proofErr w:type="spellStart"/>
    <w:r>
      <w:t>Surak</w:t>
    </w:r>
    <w:proofErr w:type="spellEnd"/>
    <w:r w:rsidRPr="002D4F86">
      <w:rPr>
        <w:rFonts w:ascii="Microsoft Himalaya" w:hAnsi="Microsoft Himalaya"/>
        <w:spacing w:val="-20"/>
        <w:w w:val="1"/>
        <w:sz w:val="5"/>
        <w:lang w:val="id-ID"/>
      </w:rPr>
      <w:t>l</w:t>
    </w:r>
    <w:proofErr w:type="spellStart"/>
    <w:r>
      <w:t>arta</w:t>
    </w:r>
    <w:proofErr w:type="spellEnd"/>
    <w:r>
      <w:t>,</w:t>
    </w:r>
    <w:r>
      <w:rPr>
        <w:spacing w:val="-4"/>
      </w:rPr>
      <w:t xml:space="preserve"> </w:t>
    </w:r>
    <w:r>
      <w:t>Indonesia</w:t>
    </w:r>
  </w:p>
  <w:p w14:paraId="7975C131" w14:textId="77777777" w:rsidR="005E51E5" w:rsidRDefault="005E51E5" w:rsidP="005E51E5">
    <w:pPr>
      <w:pStyle w:val="Heading1"/>
      <w:spacing w:line="240" w:lineRule="auto"/>
      <w:ind w:right="49"/>
      <w:jc w:val="center"/>
    </w:pPr>
    <w:hyperlink r:id="rId3" w:history="1">
      <w:r w:rsidRPr="0010739F">
        <w:rPr>
          <w:rStyle w:val="Hyperlink"/>
          <w:rFonts w:eastAsia="Calibri"/>
        </w:rPr>
        <w:t>maa241</w:t>
      </w:r>
      <w:r w:rsidRPr="0010739F">
        <w:rPr>
          <w:rStyle w:val="Hyperlink"/>
          <w:rFonts w:eastAsia="Calibri"/>
          <w:u w:color="0000FF"/>
        </w:rPr>
        <w:t>@ums.ac.id</w:t>
      </w:r>
    </w:hyperlink>
  </w:p>
  <w:p w14:paraId="745FD668" w14:textId="218B39EA" w:rsidR="00837CB8" w:rsidRPr="00150C6F" w:rsidRDefault="005227DD" w:rsidP="00FF6CDE">
    <w:pPr>
      <w:spacing w:after="0" w:line="240" w:lineRule="auto"/>
      <w:jc w:val="center"/>
      <w:rPr>
        <w:b/>
        <w:bCs/>
      </w:rPr>
    </w:pPr>
    <w:r w:rsidRPr="00A711AE">
      <w:rPr>
        <w:b/>
        <w:bCs/>
        <w:noProof/>
      </w:rPr>
      <mc:AlternateContent>
        <mc:Choice Requires="wps">
          <w:drawing>
            <wp:anchor distT="0" distB="0" distL="114300" distR="114300" simplePos="0" relativeHeight="251707904" behindDoc="0" locked="0" layoutInCell="1" hidden="0" allowOverlap="1" wp14:anchorId="3F2543A2" wp14:editId="26221CF4">
              <wp:simplePos x="0" y="0"/>
              <wp:positionH relativeFrom="leftMargin">
                <wp:posOffset>-4761</wp:posOffset>
              </wp:positionH>
              <wp:positionV relativeFrom="page">
                <wp:posOffset>-50480</wp:posOffset>
              </wp:positionV>
              <wp:extent cx="7774725" cy="55244"/>
              <wp:effectExtent l="0" t="0" r="0" b="0"/>
              <wp:wrapNone/>
              <wp:docPr id="5" name="Persegi Panjang 1"/>
              <wp:cNvGraphicFramePr/>
              <a:graphic xmlns:a="http://schemas.openxmlformats.org/drawingml/2006/main">
                <a:graphicData uri="http://schemas.microsoft.com/office/word/2010/wordprocessingShape">
                  <wps:wsp>
                    <wps:cNvSpPr/>
                    <wps:spPr>
                      <a:xfrm rot="10800000" flipH="1">
                        <a:off x="1463400" y="3757141"/>
                        <a:ext cx="7765200" cy="45719"/>
                      </a:xfrm>
                      <a:prstGeom prst="rect">
                        <a:avLst/>
                      </a:prstGeom>
                      <a:solidFill>
                        <a:srgbClr val="F2F2F2"/>
                      </a:solidFill>
                      <a:ln>
                        <a:noFill/>
                      </a:ln>
                    </wps:spPr>
                    <wps:txbx>
                      <w:txbxContent>
                        <w:p w14:paraId="28DCFF56" w14:textId="77777777" w:rsidR="005227DD" w:rsidRDefault="005227DD" w:rsidP="005227DD">
                          <w:pPr>
                            <w:textDirection w:val="btLr"/>
                          </w:pPr>
                        </w:p>
                      </w:txbxContent>
                    </wps:txbx>
                    <wps:bodyPr spcFirstLastPara="1" wrap="square" lIns="91425" tIns="0" rIns="91425" bIns="0" anchor="t" anchorCtr="0">
                      <a:noAutofit/>
                    </wps:bodyPr>
                  </wps:wsp>
                </a:graphicData>
              </a:graphic>
            </wp:anchor>
          </w:drawing>
        </mc:Choice>
        <mc:Fallback>
          <w:pict>
            <v:rect w14:anchorId="3F2543A2" id="Persegi Panjang 1" o:spid="_x0000_s1030" style="position:absolute;left:0;text-align:left;margin-left:-.35pt;margin-top:-3.95pt;width:612.2pt;height:4.35pt;rotation:180;flip:x;z-index:251707904;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" fillcolor="#f2f2f2" stroked="f">
              <v:textbox inset="2.53958mm,0,2.53958mm,0">
                <w:txbxContent>
                  <w:p w14:paraId="28DCFF56" w14:textId="77777777" w:rsidR="005227DD" w:rsidRDefault="005227DD" w:rsidP="005227DD">
                    <w:pPr>
                      <w:textDirection w:val="btLr"/>
                    </w:pPr>
                  </w:p>
                </w:txbxContent>
              </v:textbox>
              <w10:wrap anchorx="margin" anchory="page"/>
            </v:rect>
          </w:pict>
        </mc:Fallback>
      </mc:AlternateContent>
    </w:r>
    <w:r w:rsidR="00042990">
      <w:rPr>
        <w:b/>
        <w:bCs/>
      </w:rPr>
      <w:t xml:space="preserve"> </w:t>
    </w:r>
    <w:r w:rsidR="00837CB8" w:rsidRPr="00CF4F4C">
      <w:rPr>
        <w:rFonts w:asciiTheme="majorBidi" w:hAnsiTheme="majorBidi" w:cstheme="majorBidi"/>
        <w:b/>
        <w:bCs/>
        <w:noProof/>
        <w:szCs w:val="24"/>
      </w:rPr>
      <mc:AlternateContent>
        <mc:Choice Requires="wps">
          <w:drawing>
            <wp:anchor distT="0" distB="0" distL="0" distR="0" simplePos="0" relativeHeight="251658752" behindDoc="0" locked="0" layoutInCell="1" allowOverlap="1" wp14:anchorId="77FA1D13" wp14:editId="513A555E">
              <wp:simplePos x="0" y="0"/>
              <wp:positionH relativeFrom="column">
                <wp:posOffset>-13335</wp:posOffset>
              </wp:positionH>
              <wp:positionV relativeFrom="paragraph">
                <wp:posOffset>221615</wp:posOffset>
              </wp:positionV>
              <wp:extent cx="5600700" cy="0"/>
              <wp:effectExtent l="0" t="0" r="19050"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6A14AF38" id="Straight Connector 4" o:spid="_x0000_s1026" style="position:absolute;z-index:25165875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1.05pt,17.45pt" to="439.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"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0867" w14:textId="3A07084D" w:rsidR="00837CB8" w:rsidRDefault="00837CB8" w:rsidP="00286840">
    <w:pPr>
      <w:pStyle w:val="Header"/>
      <w:tabs>
        <w:tab w:val="clear" w:pos="4680"/>
        <w:tab w:val="clear" w:pos="9360"/>
      </w:tabs>
      <w:ind w:left="-709" w:right="-93" w:firstLine="709"/>
      <w:rPr>
        <w:sz w:val="20"/>
      </w:rPr>
    </w:pPr>
    <w:r>
      <w:rPr>
        <w:sz w:val="20"/>
      </w:rPr>
      <w:t>Indonesian Interdisciplinary Journal of Sharia Economics (IIJ</w:t>
    </w:r>
    <w:r w:rsidR="004B02B7">
      <w:rPr>
        <w:sz w:val="20"/>
      </w:rPr>
      <w:t>SE)</w:t>
    </w:r>
    <w:r w:rsidR="004B02B7">
      <w:rPr>
        <w:sz w:val="20"/>
      </w:rPr>
      <w:tab/>
    </w:r>
    <w:r w:rsidR="004B02B7">
      <w:rPr>
        <w:sz w:val="20"/>
      </w:rPr>
      <w:tab/>
      <w:t xml:space="preserve">            </w:t>
    </w:r>
    <w:r w:rsidR="000403BC">
      <w:rPr>
        <w:sz w:val="20"/>
      </w:rPr>
      <w:t xml:space="preserve">   </w:t>
    </w:r>
    <w:r w:rsidR="004B02B7">
      <w:rPr>
        <w:sz w:val="20"/>
      </w:rPr>
      <w:t xml:space="preserve"> </w:t>
    </w:r>
    <w:r w:rsidR="004245ED">
      <w:rPr>
        <w:sz w:val="20"/>
      </w:rPr>
      <w:t>Vol. 8. No. 1 (2025)</w:t>
    </w:r>
  </w:p>
  <w:p w14:paraId="46880A85" w14:textId="59CD31FF" w:rsidR="00837CB8" w:rsidRPr="00C062A8" w:rsidRDefault="00837CB8" w:rsidP="00E337D6">
    <w:pPr>
      <w:pStyle w:val="Header"/>
      <w:tabs>
        <w:tab w:val="clear" w:pos="4680"/>
        <w:tab w:val="clear" w:pos="9360"/>
      </w:tabs>
      <w:ind w:right="-93"/>
      <w:jc w:val="left"/>
      <w:rPr>
        <w:lang w:val="id-ID"/>
      </w:rPr>
    </w:pPr>
    <w:r>
      <w:rPr>
        <w:noProof/>
        <w:sz w:val="20"/>
      </w:rPr>
      <mc:AlternateContent>
        <mc:Choice Requires="wps">
          <w:drawing>
            <wp:anchor distT="0" distB="0" distL="0" distR="0" simplePos="0" relativeHeight="251699712" behindDoc="0" locked="0" layoutInCell="1" allowOverlap="1" wp14:anchorId="1D975975" wp14:editId="524FA01D">
              <wp:simplePos x="0" y="0"/>
              <wp:positionH relativeFrom="column">
                <wp:posOffset>-6247</wp:posOffset>
              </wp:positionH>
              <wp:positionV relativeFrom="paragraph">
                <wp:posOffset>204824</wp:posOffset>
              </wp:positionV>
              <wp:extent cx="5656521" cy="0"/>
              <wp:effectExtent l="0" t="0" r="20955" b="1905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652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914E79D" id="Straight Connector 11" o:spid="_x0000_s1026" style="position:absolute;z-index:251699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pt,16.15pt" to="444.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" strokeweight="1.5pt">
              <v:stroke joinstyle="miter"/>
              <o:lock v:ext="edit" shapetype="f"/>
            </v:line>
          </w:pict>
        </mc:Fallback>
      </mc:AlternateContent>
    </w: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t xml:space="preserve">   </w:t>
    </w:r>
    <w:r>
      <w:rPr>
        <w:sz w:val="20"/>
      </w:rPr>
      <w:t xml:space="preserve"> </w:t>
    </w:r>
    <w:r w:rsidR="002D2E5E">
      <w:rPr>
        <w:sz w:val="20"/>
      </w:rPr>
      <w:t xml:space="preserve"> </w:t>
    </w:r>
    <w:r w:rsidR="00E93A08">
      <w:rPr>
        <w:sz w:val="20"/>
      </w:rPr>
      <w:t xml:space="preserve">  </w:t>
    </w:r>
    <w:r w:rsidR="006A6601">
      <w:rPr>
        <w:sz w:val="20"/>
      </w:rPr>
      <w:t xml:space="preserve">    </w:t>
    </w:r>
    <w:r>
      <w:rPr>
        <w:sz w:val="20"/>
      </w:rPr>
      <w:t xml:space="preserve">Page: </w:t>
    </w:r>
    <w:r w:rsidR="00D15E2C">
      <w:rPr>
        <w:sz w:val="20"/>
      </w:rPr>
      <w:t>854-872</w:t>
    </w:r>
  </w:p>
  <w:p w14:paraId="74879162" w14:textId="77777777" w:rsidR="00744EF3" w:rsidRDefault="00744EF3" w:rsidP="007117B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6E87C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332B23"/>
    <w:multiLevelType w:val="hybridMultilevel"/>
    <w:tmpl w:val="DFEACC4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024F3ACA"/>
    <w:multiLevelType w:val="multilevel"/>
    <w:tmpl w:val="43EE68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E25F3A"/>
    <w:multiLevelType w:val="multilevel"/>
    <w:tmpl w:val="64720738"/>
    <w:lvl w:ilvl="0">
      <w:start w:val="1"/>
      <w:numFmt w:val="decimal"/>
      <w:pStyle w:val="EkomabisJudulSub"/>
      <w:lvlText w:val="%1."/>
      <w:lvlJc w:val="left"/>
      <w:pPr>
        <w:ind w:left="360" w:hanging="360"/>
      </w:pPr>
      <w:rPr>
        <w:rFonts w:ascii="Book Antiqua" w:hAnsi="Book Antiqua"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0C5B3B95"/>
    <w:multiLevelType w:val="hybridMultilevel"/>
    <w:tmpl w:val="E0908D00"/>
    <w:lvl w:ilvl="0" w:tplc="666E10E0">
      <w:start w:val="1"/>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055891"/>
    <w:multiLevelType w:val="hybridMultilevel"/>
    <w:tmpl w:val="2C283E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0931602"/>
    <w:multiLevelType w:val="multilevel"/>
    <w:tmpl w:val="DD20B96C"/>
    <w:lvl w:ilvl="0">
      <w:start w:val="1"/>
      <w:numFmt w:val="upperLetter"/>
      <w:pStyle w:val="BAB3"/>
      <w:lvlText w:val="%1."/>
      <w:lvlJc w:val="left"/>
      <w:pPr>
        <w:ind w:left="720" w:hanging="360"/>
      </w:pPr>
      <w:rPr>
        <w:rFonts w:hint="default"/>
        <w:b/>
      </w:rPr>
    </w:lvl>
    <w:lvl w:ilvl="1">
      <w:start w:val="1"/>
      <w:numFmt w:val="decimal"/>
      <w:lvlText w:val="%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5251A7"/>
    <w:multiLevelType w:val="hybridMultilevel"/>
    <w:tmpl w:val="90BAA37A"/>
    <w:lvl w:ilvl="0" w:tplc="140EE0AC">
      <w:start w:val="1"/>
      <w:numFmt w:val="decimal"/>
      <w:pStyle w:val="EkomabisJudulSub2"/>
      <w:lvlText w:val="2.%1."/>
      <w:lvlJc w:val="left"/>
      <w:pPr>
        <w:ind w:left="720" w:hanging="360"/>
      </w:pPr>
      <w:rPr>
        <w:rFonts w:ascii="Book Antiqua" w:hAnsi="Book Antiqu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83B94"/>
    <w:multiLevelType w:val="hybridMultilevel"/>
    <w:tmpl w:val="95623F0A"/>
    <w:lvl w:ilvl="0" w:tplc="94EA568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975FD"/>
    <w:multiLevelType w:val="hybridMultilevel"/>
    <w:tmpl w:val="E182CD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7E265D3"/>
    <w:multiLevelType w:val="hybridMultilevel"/>
    <w:tmpl w:val="5BA4173A"/>
    <w:lvl w:ilvl="0" w:tplc="3C6EBE04">
      <w:start w:val="1"/>
      <w:numFmt w:val="decimal"/>
      <w:pStyle w:val="EkomabisJudulSub4"/>
      <w:lvlText w:val="4.%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273C6"/>
    <w:multiLevelType w:val="multilevel"/>
    <w:tmpl w:val="95DC9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8A72AA"/>
    <w:multiLevelType w:val="hybridMultilevel"/>
    <w:tmpl w:val="8CB6B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4500F"/>
    <w:multiLevelType w:val="hybridMultilevel"/>
    <w:tmpl w:val="EB2A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A0208"/>
    <w:multiLevelType w:val="hybridMultilevel"/>
    <w:tmpl w:val="4DCCE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36C26D7"/>
    <w:multiLevelType w:val="hybridMultilevel"/>
    <w:tmpl w:val="8A9E3A3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15:restartNumberingAfterBreak="0">
    <w:nsid w:val="23A40B37"/>
    <w:multiLevelType w:val="hybridMultilevel"/>
    <w:tmpl w:val="F00EFD7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8" w15:restartNumberingAfterBreak="0">
    <w:nsid w:val="263D26C5"/>
    <w:multiLevelType w:val="hybridMultilevel"/>
    <w:tmpl w:val="945CFD2A"/>
    <w:lvl w:ilvl="0" w:tplc="2EF01A18">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A43D2"/>
    <w:multiLevelType w:val="hybridMultilevel"/>
    <w:tmpl w:val="677C7970"/>
    <w:lvl w:ilvl="0" w:tplc="0409000F">
      <w:start w:val="1"/>
      <w:numFmt w:val="decimal"/>
      <w:lvlText w:val="%1."/>
      <w:lvlJc w:val="left"/>
      <w:pPr>
        <w:ind w:left="360" w:hanging="360"/>
      </w:pPr>
    </w:lvl>
    <w:lvl w:ilvl="1" w:tplc="626682C8">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8502D13"/>
    <w:multiLevelType w:val="hybridMultilevel"/>
    <w:tmpl w:val="DF8CBF7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2F447529"/>
    <w:multiLevelType w:val="hybridMultilevel"/>
    <w:tmpl w:val="46B88158"/>
    <w:lvl w:ilvl="0" w:tplc="B32E6410">
      <w:start w:val="1"/>
      <w:numFmt w:val="decimal"/>
      <w:pStyle w:val="numberingg"/>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102625B"/>
    <w:multiLevelType w:val="hybridMultilevel"/>
    <w:tmpl w:val="26F04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26FFB"/>
    <w:multiLevelType w:val="hybridMultilevel"/>
    <w:tmpl w:val="FAAC4D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AD121F9"/>
    <w:multiLevelType w:val="hybridMultilevel"/>
    <w:tmpl w:val="14E26A2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B6F49CC"/>
    <w:multiLevelType w:val="hybridMultilevel"/>
    <w:tmpl w:val="97869930"/>
    <w:lvl w:ilvl="0" w:tplc="FFFFFFFF">
      <w:start w:val="1"/>
      <w:numFmt w:val="decimal"/>
      <w:lvlText w:val="%1."/>
      <w:lvlJc w:val="left"/>
      <w:pPr>
        <w:ind w:left="3119" w:hanging="360"/>
      </w:pPr>
    </w:lvl>
    <w:lvl w:ilvl="1" w:tplc="FFFFFFFF" w:tentative="1">
      <w:start w:val="1"/>
      <w:numFmt w:val="lowerLetter"/>
      <w:lvlText w:val="%2."/>
      <w:lvlJc w:val="left"/>
      <w:pPr>
        <w:ind w:left="3839" w:hanging="360"/>
      </w:pPr>
    </w:lvl>
    <w:lvl w:ilvl="2" w:tplc="FFFFFFFF" w:tentative="1">
      <w:start w:val="1"/>
      <w:numFmt w:val="lowerRoman"/>
      <w:lvlText w:val="%3."/>
      <w:lvlJc w:val="right"/>
      <w:pPr>
        <w:ind w:left="4559" w:hanging="180"/>
      </w:pPr>
    </w:lvl>
    <w:lvl w:ilvl="3" w:tplc="FFFFFFFF" w:tentative="1">
      <w:start w:val="1"/>
      <w:numFmt w:val="decimal"/>
      <w:lvlText w:val="%4."/>
      <w:lvlJc w:val="left"/>
      <w:pPr>
        <w:ind w:left="5279" w:hanging="360"/>
      </w:pPr>
    </w:lvl>
    <w:lvl w:ilvl="4" w:tplc="FFFFFFFF" w:tentative="1">
      <w:start w:val="1"/>
      <w:numFmt w:val="lowerLetter"/>
      <w:lvlText w:val="%5."/>
      <w:lvlJc w:val="left"/>
      <w:pPr>
        <w:ind w:left="5999" w:hanging="360"/>
      </w:pPr>
    </w:lvl>
    <w:lvl w:ilvl="5" w:tplc="FFFFFFFF" w:tentative="1">
      <w:start w:val="1"/>
      <w:numFmt w:val="lowerRoman"/>
      <w:lvlText w:val="%6."/>
      <w:lvlJc w:val="right"/>
      <w:pPr>
        <w:ind w:left="6719" w:hanging="180"/>
      </w:pPr>
    </w:lvl>
    <w:lvl w:ilvl="6" w:tplc="FFFFFFFF" w:tentative="1">
      <w:start w:val="1"/>
      <w:numFmt w:val="decimal"/>
      <w:lvlText w:val="%7."/>
      <w:lvlJc w:val="left"/>
      <w:pPr>
        <w:ind w:left="7439" w:hanging="360"/>
      </w:pPr>
    </w:lvl>
    <w:lvl w:ilvl="7" w:tplc="FFFFFFFF" w:tentative="1">
      <w:start w:val="1"/>
      <w:numFmt w:val="lowerLetter"/>
      <w:lvlText w:val="%8."/>
      <w:lvlJc w:val="left"/>
      <w:pPr>
        <w:ind w:left="8159" w:hanging="360"/>
      </w:pPr>
    </w:lvl>
    <w:lvl w:ilvl="8" w:tplc="FFFFFFFF" w:tentative="1">
      <w:start w:val="1"/>
      <w:numFmt w:val="lowerRoman"/>
      <w:lvlText w:val="%9."/>
      <w:lvlJc w:val="right"/>
      <w:pPr>
        <w:ind w:left="8879" w:hanging="180"/>
      </w:pPr>
    </w:lvl>
  </w:abstractNum>
  <w:abstractNum w:abstractNumId="26" w15:restartNumberingAfterBreak="0">
    <w:nsid w:val="44C2019D"/>
    <w:multiLevelType w:val="multilevel"/>
    <w:tmpl w:val="4BA0D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272359"/>
    <w:multiLevelType w:val="hybridMultilevel"/>
    <w:tmpl w:val="87843C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6C7ECB"/>
    <w:multiLevelType w:val="hybridMultilevel"/>
    <w:tmpl w:val="083E811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4B0D713C"/>
    <w:multiLevelType w:val="hybridMultilevel"/>
    <w:tmpl w:val="ADB0D6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C506D00"/>
    <w:multiLevelType w:val="hybridMultilevel"/>
    <w:tmpl w:val="2DE886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C9D39BC"/>
    <w:multiLevelType w:val="multilevel"/>
    <w:tmpl w:val="469AE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3F22AB"/>
    <w:multiLevelType w:val="hybridMultilevel"/>
    <w:tmpl w:val="D91463E8"/>
    <w:lvl w:ilvl="0" w:tplc="A77A6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1BA8A"/>
    <w:multiLevelType w:val="singleLevel"/>
    <w:tmpl w:val="6641BA8A"/>
    <w:lvl w:ilvl="0">
      <w:start w:val="1"/>
      <w:numFmt w:val="decimal"/>
      <w:lvlText w:val="%1."/>
      <w:lvlJc w:val="left"/>
      <w:pPr>
        <w:tabs>
          <w:tab w:val="left" w:pos="425"/>
        </w:tabs>
        <w:ind w:left="425" w:hanging="425"/>
      </w:pPr>
      <w:rPr>
        <w:rFonts w:hint="default"/>
      </w:rPr>
    </w:lvl>
  </w:abstractNum>
  <w:abstractNum w:abstractNumId="34" w15:restartNumberingAfterBreak="0">
    <w:nsid w:val="6641BB5E"/>
    <w:multiLevelType w:val="singleLevel"/>
    <w:tmpl w:val="6641BB5E"/>
    <w:lvl w:ilvl="0">
      <w:start w:val="1"/>
      <w:numFmt w:val="decimal"/>
      <w:lvlText w:val="%1."/>
      <w:lvlJc w:val="left"/>
    </w:lvl>
  </w:abstractNum>
  <w:abstractNum w:abstractNumId="35" w15:restartNumberingAfterBreak="0">
    <w:nsid w:val="6641BEAB"/>
    <w:multiLevelType w:val="singleLevel"/>
    <w:tmpl w:val="6641BEAB"/>
    <w:lvl w:ilvl="0">
      <w:start w:val="1"/>
      <w:numFmt w:val="decimal"/>
      <w:lvlText w:val="%1."/>
      <w:lvlJc w:val="left"/>
    </w:lvl>
  </w:abstractNum>
  <w:abstractNum w:abstractNumId="36" w15:restartNumberingAfterBreak="0">
    <w:nsid w:val="682B7CCC"/>
    <w:multiLevelType w:val="hybridMultilevel"/>
    <w:tmpl w:val="E6108798"/>
    <w:lvl w:ilvl="0" w:tplc="58DA1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941E46"/>
    <w:multiLevelType w:val="hybridMultilevel"/>
    <w:tmpl w:val="91B0A112"/>
    <w:lvl w:ilvl="0" w:tplc="666E10E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60484"/>
    <w:multiLevelType w:val="hybridMultilevel"/>
    <w:tmpl w:val="B188484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9" w15:restartNumberingAfterBreak="0">
    <w:nsid w:val="72D059D0"/>
    <w:multiLevelType w:val="multilevel"/>
    <w:tmpl w:val="72D059D0"/>
    <w:lvl w:ilvl="0">
      <w:start w:val="1"/>
      <w:numFmt w:val="upperLetter"/>
      <w:pStyle w:val="BAB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216A21"/>
    <w:multiLevelType w:val="hybridMultilevel"/>
    <w:tmpl w:val="8A1A8B24"/>
    <w:lvl w:ilvl="0" w:tplc="0DE21D64">
      <w:start w:val="1"/>
      <w:numFmt w:val="decimal"/>
      <w:pStyle w:val="EkomabisJudulSub3"/>
      <w:lvlText w:val="3.%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C2311"/>
    <w:multiLevelType w:val="hybridMultilevel"/>
    <w:tmpl w:val="E8B29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26E53"/>
    <w:multiLevelType w:val="hybridMultilevel"/>
    <w:tmpl w:val="FBD0F9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78AA6DB0"/>
    <w:multiLevelType w:val="multilevel"/>
    <w:tmpl w:val="7EB09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FD30E6"/>
    <w:multiLevelType w:val="multilevel"/>
    <w:tmpl w:val="174ACC0C"/>
    <w:lvl w:ilvl="0">
      <w:start w:val="1"/>
      <w:numFmt w:val="decimal"/>
      <w:lvlText w:val="%1"/>
      <w:lvlJc w:val="left"/>
      <w:pPr>
        <w:ind w:left="432" w:hanging="432"/>
      </w:pPr>
      <w:rPr>
        <w:rFonts w:hint="default"/>
        <w:color w:val="FFFFFF" w:themeColor="background1"/>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15:restartNumberingAfterBreak="0">
    <w:nsid w:val="7E2A6638"/>
    <w:multiLevelType w:val="hybridMultilevel"/>
    <w:tmpl w:val="B4DA7D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4"/>
  </w:num>
  <w:num w:numId="4">
    <w:abstractNumId w:val="8"/>
  </w:num>
  <w:num w:numId="5">
    <w:abstractNumId w:val="40"/>
  </w:num>
  <w:num w:numId="6">
    <w:abstractNumId w:val="11"/>
  </w:num>
  <w:num w:numId="7">
    <w:abstractNumId w:val="39"/>
  </w:num>
  <w:num w:numId="8">
    <w:abstractNumId w:val="7"/>
  </w:num>
  <w:num w:numId="9">
    <w:abstractNumId w:val="14"/>
  </w:num>
  <w:num w:numId="10">
    <w:abstractNumId w:val="13"/>
  </w:num>
  <w:num w:numId="11">
    <w:abstractNumId w:val="22"/>
  </w:num>
  <w:num w:numId="12">
    <w:abstractNumId w:val="12"/>
  </w:num>
  <w:num w:numId="13">
    <w:abstractNumId w:val="31"/>
  </w:num>
  <w:num w:numId="14">
    <w:abstractNumId w:val="43"/>
  </w:num>
  <w:num w:numId="15">
    <w:abstractNumId w:val="26"/>
  </w:num>
  <w:num w:numId="16">
    <w:abstractNumId w:val="3"/>
  </w:num>
  <w:num w:numId="17">
    <w:abstractNumId w:val="28"/>
  </w:num>
  <w:num w:numId="18">
    <w:abstractNumId w:val="9"/>
  </w:num>
  <w:num w:numId="19">
    <w:abstractNumId w:val="37"/>
  </w:num>
  <w:num w:numId="20">
    <w:abstractNumId w:val="5"/>
  </w:num>
  <w:num w:numId="21">
    <w:abstractNumId w:val="3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4"/>
  </w:num>
  <w:num w:numId="26">
    <w:abstractNumId w:val="35"/>
  </w:num>
  <w:num w:numId="27">
    <w:abstractNumId w:val="0"/>
  </w:num>
  <w:num w:numId="28">
    <w:abstractNumId w:val="1"/>
  </w:num>
  <w:num w:numId="29">
    <w:abstractNumId w:val="18"/>
  </w:num>
  <w:num w:numId="30">
    <w:abstractNumId w:val="1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lvlOverride w:ilvl="2"/>
    <w:lvlOverride w:ilvl="3"/>
    <w:lvlOverride w:ilvl="4"/>
    <w:lvlOverride w:ilvl="5"/>
    <w:lvlOverride w:ilvl="6"/>
    <w:lvlOverride w:ilvl="7"/>
    <w:lvlOverride w:ilvl="8"/>
  </w:num>
  <w:num w:numId="33">
    <w:abstractNumId w:val="41"/>
  </w:num>
  <w:num w:numId="34">
    <w:abstractNumId w:val="32"/>
  </w:num>
  <w:num w:numId="35">
    <w:abstractNumId w:val="27"/>
  </w:num>
  <w:num w:numId="36">
    <w:abstractNumId w:val="25"/>
  </w:num>
  <w:num w:numId="37">
    <w:abstractNumId w:val="23"/>
  </w:num>
  <w:num w:numId="38">
    <w:abstractNumId w:val="15"/>
  </w:num>
  <w:num w:numId="39">
    <w:abstractNumId w:val="29"/>
  </w:num>
  <w:num w:numId="40">
    <w:abstractNumId w:val="2"/>
  </w:num>
  <w:num w:numId="41">
    <w:abstractNumId w:val="6"/>
  </w:num>
  <w:num w:numId="42">
    <w:abstractNumId w:val="10"/>
  </w:num>
  <w:num w:numId="43">
    <w:abstractNumId w:val="45"/>
  </w:num>
  <w:num w:numId="44">
    <w:abstractNumId w:val="42"/>
  </w:num>
  <w:num w:numId="45">
    <w:abstractNumId w:val="30"/>
  </w:num>
  <w:num w:numId="4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BA"/>
    <w:rsid w:val="00002ABB"/>
    <w:rsid w:val="00006CBC"/>
    <w:rsid w:val="000137F4"/>
    <w:rsid w:val="00015A70"/>
    <w:rsid w:val="00020333"/>
    <w:rsid w:val="000212A6"/>
    <w:rsid w:val="000226D9"/>
    <w:rsid w:val="00031663"/>
    <w:rsid w:val="00032E7F"/>
    <w:rsid w:val="00036EEB"/>
    <w:rsid w:val="000403BC"/>
    <w:rsid w:val="00040676"/>
    <w:rsid w:val="00042381"/>
    <w:rsid w:val="00042990"/>
    <w:rsid w:val="0004625C"/>
    <w:rsid w:val="00051C1E"/>
    <w:rsid w:val="000568B0"/>
    <w:rsid w:val="00060797"/>
    <w:rsid w:val="00060E95"/>
    <w:rsid w:val="00062F48"/>
    <w:rsid w:val="00064CF7"/>
    <w:rsid w:val="000708C2"/>
    <w:rsid w:val="00076474"/>
    <w:rsid w:val="000768CB"/>
    <w:rsid w:val="00076C86"/>
    <w:rsid w:val="0008022E"/>
    <w:rsid w:val="0008158C"/>
    <w:rsid w:val="00082C14"/>
    <w:rsid w:val="0009127D"/>
    <w:rsid w:val="00094D6D"/>
    <w:rsid w:val="0009503A"/>
    <w:rsid w:val="000A1DAC"/>
    <w:rsid w:val="000A472D"/>
    <w:rsid w:val="000A5C0A"/>
    <w:rsid w:val="000B1E8F"/>
    <w:rsid w:val="000B1EE6"/>
    <w:rsid w:val="000C014E"/>
    <w:rsid w:val="000C69C0"/>
    <w:rsid w:val="000D3F4A"/>
    <w:rsid w:val="000D6D00"/>
    <w:rsid w:val="000E0869"/>
    <w:rsid w:val="000E50C5"/>
    <w:rsid w:val="000F1965"/>
    <w:rsid w:val="000F6894"/>
    <w:rsid w:val="000F7703"/>
    <w:rsid w:val="00110DAB"/>
    <w:rsid w:val="00111A2A"/>
    <w:rsid w:val="00112307"/>
    <w:rsid w:val="00120304"/>
    <w:rsid w:val="001241B4"/>
    <w:rsid w:val="00136083"/>
    <w:rsid w:val="00136843"/>
    <w:rsid w:val="00137855"/>
    <w:rsid w:val="00143177"/>
    <w:rsid w:val="00143264"/>
    <w:rsid w:val="00150C6F"/>
    <w:rsid w:val="00150E53"/>
    <w:rsid w:val="00155040"/>
    <w:rsid w:val="00161744"/>
    <w:rsid w:val="00166EED"/>
    <w:rsid w:val="00170C59"/>
    <w:rsid w:val="0019313A"/>
    <w:rsid w:val="00194045"/>
    <w:rsid w:val="00195D68"/>
    <w:rsid w:val="001A2D2D"/>
    <w:rsid w:val="001A39A6"/>
    <w:rsid w:val="001A3B57"/>
    <w:rsid w:val="001A42C0"/>
    <w:rsid w:val="001B0C81"/>
    <w:rsid w:val="001C338A"/>
    <w:rsid w:val="001C4293"/>
    <w:rsid w:val="001C43B3"/>
    <w:rsid w:val="001C7A6C"/>
    <w:rsid w:val="001D44F2"/>
    <w:rsid w:val="001D6331"/>
    <w:rsid w:val="001E3506"/>
    <w:rsid w:val="001E52F4"/>
    <w:rsid w:val="001E748C"/>
    <w:rsid w:val="001F0C30"/>
    <w:rsid w:val="001F167C"/>
    <w:rsid w:val="001F208D"/>
    <w:rsid w:val="001F36A4"/>
    <w:rsid w:val="001F4BA2"/>
    <w:rsid w:val="001F5A1D"/>
    <w:rsid w:val="001F642D"/>
    <w:rsid w:val="002054C3"/>
    <w:rsid w:val="00206E50"/>
    <w:rsid w:val="0021186D"/>
    <w:rsid w:val="002138A1"/>
    <w:rsid w:val="002142A7"/>
    <w:rsid w:val="0021475D"/>
    <w:rsid w:val="00215C1F"/>
    <w:rsid w:val="002318F1"/>
    <w:rsid w:val="00232DD1"/>
    <w:rsid w:val="002342AB"/>
    <w:rsid w:val="00234F61"/>
    <w:rsid w:val="00244612"/>
    <w:rsid w:val="00253A78"/>
    <w:rsid w:val="00253E30"/>
    <w:rsid w:val="002604D4"/>
    <w:rsid w:val="00261915"/>
    <w:rsid w:val="00267B46"/>
    <w:rsid w:val="00267E67"/>
    <w:rsid w:val="00273452"/>
    <w:rsid w:val="002734D8"/>
    <w:rsid w:val="0027530F"/>
    <w:rsid w:val="00276873"/>
    <w:rsid w:val="0028314E"/>
    <w:rsid w:val="002834CC"/>
    <w:rsid w:val="00286840"/>
    <w:rsid w:val="0029201D"/>
    <w:rsid w:val="00296B8C"/>
    <w:rsid w:val="00296E82"/>
    <w:rsid w:val="002A309C"/>
    <w:rsid w:val="002A4A4C"/>
    <w:rsid w:val="002B0BB3"/>
    <w:rsid w:val="002B47C7"/>
    <w:rsid w:val="002C52B9"/>
    <w:rsid w:val="002C6C64"/>
    <w:rsid w:val="002D0588"/>
    <w:rsid w:val="002D2E5E"/>
    <w:rsid w:val="002D5A6B"/>
    <w:rsid w:val="002E21F2"/>
    <w:rsid w:val="002F0AC5"/>
    <w:rsid w:val="002F730B"/>
    <w:rsid w:val="003003CE"/>
    <w:rsid w:val="00310148"/>
    <w:rsid w:val="0031339C"/>
    <w:rsid w:val="00317744"/>
    <w:rsid w:val="003223EC"/>
    <w:rsid w:val="0032344C"/>
    <w:rsid w:val="0032683D"/>
    <w:rsid w:val="003273F3"/>
    <w:rsid w:val="0032755D"/>
    <w:rsid w:val="00341DD8"/>
    <w:rsid w:val="00343D44"/>
    <w:rsid w:val="00346ADF"/>
    <w:rsid w:val="00352401"/>
    <w:rsid w:val="003571F8"/>
    <w:rsid w:val="00361A90"/>
    <w:rsid w:val="00365E29"/>
    <w:rsid w:val="00376DD5"/>
    <w:rsid w:val="00381803"/>
    <w:rsid w:val="00382ED9"/>
    <w:rsid w:val="003842FC"/>
    <w:rsid w:val="00391852"/>
    <w:rsid w:val="00392DB9"/>
    <w:rsid w:val="003A111A"/>
    <w:rsid w:val="003A3840"/>
    <w:rsid w:val="003A7D68"/>
    <w:rsid w:val="003C4596"/>
    <w:rsid w:val="003C75B1"/>
    <w:rsid w:val="003D3753"/>
    <w:rsid w:val="003D5039"/>
    <w:rsid w:val="003E0587"/>
    <w:rsid w:val="003E449F"/>
    <w:rsid w:val="003E7612"/>
    <w:rsid w:val="0040486E"/>
    <w:rsid w:val="00412315"/>
    <w:rsid w:val="00412C31"/>
    <w:rsid w:val="004139D5"/>
    <w:rsid w:val="0042123D"/>
    <w:rsid w:val="004245ED"/>
    <w:rsid w:val="00427BD0"/>
    <w:rsid w:val="00444287"/>
    <w:rsid w:val="00451AFB"/>
    <w:rsid w:val="00451E31"/>
    <w:rsid w:val="00452AEE"/>
    <w:rsid w:val="00461722"/>
    <w:rsid w:val="0046779F"/>
    <w:rsid w:val="0047214B"/>
    <w:rsid w:val="004768D9"/>
    <w:rsid w:val="00491AD1"/>
    <w:rsid w:val="00493B5E"/>
    <w:rsid w:val="00494C2E"/>
    <w:rsid w:val="004A07DA"/>
    <w:rsid w:val="004B02B7"/>
    <w:rsid w:val="004C0368"/>
    <w:rsid w:val="004D0D74"/>
    <w:rsid w:val="004E213A"/>
    <w:rsid w:val="004E346F"/>
    <w:rsid w:val="004E4596"/>
    <w:rsid w:val="004E5592"/>
    <w:rsid w:val="004F2921"/>
    <w:rsid w:val="00501FC1"/>
    <w:rsid w:val="005021DB"/>
    <w:rsid w:val="00503C63"/>
    <w:rsid w:val="00503ED4"/>
    <w:rsid w:val="00507813"/>
    <w:rsid w:val="0051157D"/>
    <w:rsid w:val="00514888"/>
    <w:rsid w:val="005167C0"/>
    <w:rsid w:val="00516F00"/>
    <w:rsid w:val="0051709F"/>
    <w:rsid w:val="00517F70"/>
    <w:rsid w:val="005227DD"/>
    <w:rsid w:val="005250A9"/>
    <w:rsid w:val="0052743F"/>
    <w:rsid w:val="00531141"/>
    <w:rsid w:val="00533DB9"/>
    <w:rsid w:val="00534987"/>
    <w:rsid w:val="005464DF"/>
    <w:rsid w:val="00554190"/>
    <w:rsid w:val="00562EDC"/>
    <w:rsid w:val="005648A1"/>
    <w:rsid w:val="00572BA1"/>
    <w:rsid w:val="00573FF8"/>
    <w:rsid w:val="00574A97"/>
    <w:rsid w:val="00577F38"/>
    <w:rsid w:val="00580732"/>
    <w:rsid w:val="00582064"/>
    <w:rsid w:val="00582A4D"/>
    <w:rsid w:val="00594802"/>
    <w:rsid w:val="00594925"/>
    <w:rsid w:val="005A0C55"/>
    <w:rsid w:val="005A0C90"/>
    <w:rsid w:val="005A5EA6"/>
    <w:rsid w:val="005A6782"/>
    <w:rsid w:val="005B0C39"/>
    <w:rsid w:val="005C15E3"/>
    <w:rsid w:val="005C66E3"/>
    <w:rsid w:val="005D145F"/>
    <w:rsid w:val="005D7FBA"/>
    <w:rsid w:val="005E51E5"/>
    <w:rsid w:val="005E78A6"/>
    <w:rsid w:val="005F567C"/>
    <w:rsid w:val="005F7D49"/>
    <w:rsid w:val="006014B3"/>
    <w:rsid w:val="006066FD"/>
    <w:rsid w:val="00612718"/>
    <w:rsid w:val="006172C2"/>
    <w:rsid w:val="0062013D"/>
    <w:rsid w:val="00630FE6"/>
    <w:rsid w:val="006311C3"/>
    <w:rsid w:val="006338CC"/>
    <w:rsid w:val="00636CBF"/>
    <w:rsid w:val="006371DA"/>
    <w:rsid w:val="00644209"/>
    <w:rsid w:val="0064491E"/>
    <w:rsid w:val="006468A6"/>
    <w:rsid w:val="00651903"/>
    <w:rsid w:val="0066096A"/>
    <w:rsid w:val="00661F50"/>
    <w:rsid w:val="00664574"/>
    <w:rsid w:val="006739AB"/>
    <w:rsid w:val="00673DF6"/>
    <w:rsid w:val="00682D55"/>
    <w:rsid w:val="00687255"/>
    <w:rsid w:val="00697F59"/>
    <w:rsid w:val="006A0EAB"/>
    <w:rsid w:val="006A6601"/>
    <w:rsid w:val="006A7C25"/>
    <w:rsid w:val="006B04A5"/>
    <w:rsid w:val="006B1BFA"/>
    <w:rsid w:val="006B3C5F"/>
    <w:rsid w:val="006C2A44"/>
    <w:rsid w:val="006C5CB3"/>
    <w:rsid w:val="006C5ECF"/>
    <w:rsid w:val="006D0BEA"/>
    <w:rsid w:val="006E2EE0"/>
    <w:rsid w:val="006E532B"/>
    <w:rsid w:val="006F1BE0"/>
    <w:rsid w:val="006F2BEF"/>
    <w:rsid w:val="006F4B78"/>
    <w:rsid w:val="006F561F"/>
    <w:rsid w:val="007014E2"/>
    <w:rsid w:val="00704A3F"/>
    <w:rsid w:val="00707268"/>
    <w:rsid w:val="007111C0"/>
    <w:rsid w:val="007117B3"/>
    <w:rsid w:val="00711CAA"/>
    <w:rsid w:val="007150D1"/>
    <w:rsid w:val="0072238B"/>
    <w:rsid w:val="00723A71"/>
    <w:rsid w:val="00723B0F"/>
    <w:rsid w:val="007372B3"/>
    <w:rsid w:val="00744EF3"/>
    <w:rsid w:val="00747AEC"/>
    <w:rsid w:val="0075638A"/>
    <w:rsid w:val="00756500"/>
    <w:rsid w:val="007566B4"/>
    <w:rsid w:val="007677EF"/>
    <w:rsid w:val="0077347A"/>
    <w:rsid w:val="00773B2B"/>
    <w:rsid w:val="00773C11"/>
    <w:rsid w:val="00777ADC"/>
    <w:rsid w:val="007809E3"/>
    <w:rsid w:val="007879B3"/>
    <w:rsid w:val="0079131E"/>
    <w:rsid w:val="00792B73"/>
    <w:rsid w:val="00793CBE"/>
    <w:rsid w:val="007A78B0"/>
    <w:rsid w:val="007B6BCC"/>
    <w:rsid w:val="007B6C84"/>
    <w:rsid w:val="007C64D4"/>
    <w:rsid w:val="007D12DC"/>
    <w:rsid w:val="007F0073"/>
    <w:rsid w:val="007F28A1"/>
    <w:rsid w:val="007F37BB"/>
    <w:rsid w:val="007F6477"/>
    <w:rsid w:val="007F7B34"/>
    <w:rsid w:val="00814D48"/>
    <w:rsid w:val="00815E7A"/>
    <w:rsid w:val="00816E86"/>
    <w:rsid w:val="00823D2E"/>
    <w:rsid w:val="008274CF"/>
    <w:rsid w:val="00831B53"/>
    <w:rsid w:val="008344D6"/>
    <w:rsid w:val="00834C35"/>
    <w:rsid w:val="00834E88"/>
    <w:rsid w:val="00835E2B"/>
    <w:rsid w:val="008365EE"/>
    <w:rsid w:val="00837CB8"/>
    <w:rsid w:val="00841E4C"/>
    <w:rsid w:val="008456D7"/>
    <w:rsid w:val="00846BB6"/>
    <w:rsid w:val="00846EDD"/>
    <w:rsid w:val="00855196"/>
    <w:rsid w:val="00856049"/>
    <w:rsid w:val="0086007E"/>
    <w:rsid w:val="00860A5B"/>
    <w:rsid w:val="00860B84"/>
    <w:rsid w:val="00862658"/>
    <w:rsid w:val="00872B82"/>
    <w:rsid w:val="008752DD"/>
    <w:rsid w:val="00875A32"/>
    <w:rsid w:val="00875EC4"/>
    <w:rsid w:val="00876539"/>
    <w:rsid w:val="008767F1"/>
    <w:rsid w:val="00880D28"/>
    <w:rsid w:val="008828CA"/>
    <w:rsid w:val="008901F9"/>
    <w:rsid w:val="00892303"/>
    <w:rsid w:val="00893C4C"/>
    <w:rsid w:val="00896EF8"/>
    <w:rsid w:val="008A6FE2"/>
    <w:rsid w:val="008A7992"/>
    <w:rsid w:val="008A7EE7"/>
    <w:rsid w:val="008B02F9"/>
    <w:rsid w:val="008B699F"/>
    <w:rsid w:val="008C34F4"/>
    <w:rsid w:val="008C7BE0"/>
    <w:rsid w:val="008D01FF"/>
    <w:rsid w:val="008D4C69"/>
    <w:rsid w:val="008D4DBD"/>
    <w:rsid w:val="008D4DE1"/>
    <w:rsid w:val="008E34C3"/>
    <w:rsid w:val="008E7686"/>
    <w:rsid w:val="008E7FB5"/>
    <w:rsid w:val="008F2AF4"/>
    <w:rsid w:val="009023A2"/>
    <w:rsid w:val="00904BB0"/>
    <w:rsid w:val="009105D0"/>
    <w:rsid w:val="009148A3"/>
    <w:rsid w:val="00921113"/>
    <w:rsid w:val="00921FA8"/>
    <w:rsid w:val="00925986"/>
    <w:rsid w:val="009310F4"/>
    <w:rsid w:val="00932EFF"/>
    <w:rsid w:val="00944CA2"/>
    <w:rsid w:val="009606C0"/>
    <w:rsid w:val="009639BD"/>
    <w:rsid w:val="00967E12"/>
    <w:rsid w:val="009703CD"/>
    <w:rsid w:val="00971D6C"/>
    <w:rsid w:val="00972882"/>
    <w:rsid w:val="00974E14"/>
    <w:rsid w:val="00975258"/>
    <w:rsid w:val="00981F54"/>
    <w:rsid w:val="00983D0B"/>
    <w:rsid w:val="00984625"/>
    <w:rsid w:val="0099645D"/>
    <w:rsid w:val="009A0913"/>
    <w:rsid w:val="009A135A"/>
    <w:rsid w:val="009A53B8"/>
    <w:rsid w:val="009A540C"/>
    <w:rsid w:val="009B102E"/>
    <w:rsid w:val="009B20DE"/>
    <w:rsid w:val="009B397F"/>
    <w:rsid w:val="009B5751"/>
    <w:rsid w:val="009B67A6"/>
    <w:rsid w:val="009C0AEF"/>
    <w:rsid w:val="009C5A12"/>
    <w:rsid w:val="009C6949"/>
    <w:rsid w:val="009C6FC2"/>
    <w:rsid w:val="009C728A"/>
    <w:rsid w:val="009D1422"/>
    <w:rsid w:val="009D4812"/>
    <w:rsid w:val="009D73E1"/>
    <w:rsid w:val="009F09EB"/>
    <w:rsid w:val="009F7EC2"/>
    <w:rsid w:val="00A124CC"/>
    <w:rsid w:val="00A20E57"/>
    <w:rsid w:val="00A32CD6"/>
    <w:rsid w:val="00A3548A"/>
    <w:rsid w:val="00A35E9E"/>
    <w:rsid w:val="00A37AA1"/>
    <w:rsid w:val="00A474C2"/>
    <w:rsid w:val="00A50C2B"/>
    <w:rsid w:val="00A55EA1"/>
    <w:rsid w:val="00A62C34"/>
    <w:rsid w:val="00A67F58"/>
    <w:rsid w:val="00A70769"/>
    <w:rsid w:val="00A721CF"/>
    <w:rsid w:val="00A75048"/>
    <w:rsid w:val="00A76E42"/>
    <w:rsid w:val="00A771A0"/>
    <w:rsid w:val="00A80843"/>
    <w:rsid w:val="00A81486"/>
    <w:rsid w:val="00A8369D"/>
    <w:rsid w:val="00A84889"/>
    <w:rsid w:val="00A91A87"/>
    <w:rsid w:val="00A94B55"/>
    <w:rsid w:val="00AA0185"/>
    <w:rsid w:val="00AA0874"/>
    <w:rsid w:val="00AA339B"/>
    <w:rsid w:val="00AA3713"/>
    <w:rsid w:val="00AA463F"/>
    <w:rsid w:val="00AA4A9F"/>
    <w:rsid w:val="00AA533A"/>
    <w:rsid w:val="00AB32A7"/>
    <w:rsid w:val="00AB57DC"/>
    <w:rsid w:val="00AC37CF"/>
    <w:rsid w:val="00AD60B0"/>
    <w:rsid w:val="00AD6441"/>
    <w:rsid w:val="00AD682A"/>
    <w:rsid w:val="00AD6E33"/>
    <w:rsid w:val="00AE187F"/>
    <w:rsid w:val="00AE5505"/>
    <w:rsid w:val="00B0162A"/>
    <w:rsid w:val="00B06989"/>
    <w:rsid w:val="00B10BC7"/>
    <w:rsid w:val="00B13978"/>
    <w:rsid w:val="00B15797"/>
    <w:rsid w:val="00B168DA"/>
    <w:rsid w:val="00B22670"/>
    <w:rsid w:val="00B3264B"/>
    <w:rsid w:val="00B356C4"/>
    <w:rsid w:val="00B3620E"/>
    <w:rsid w:val="00B5112A"/>
    <w:rsid w:val="00B52A8D"/>
    <w:rsid w:val="00B60231"/>
    <w:rsid w:val="00B645FA"/>
    <w:rsid w:val="00B64AF0"/>
    <w:rsid w:val="00B657A3"/>
    <w:rsid w:val="00B66534"/>
    <w:rsid w:val="00B759B9"/>
    <w:rsid w:val="00B8098A"/>
    <w:rsid w:val="00B95309"/>
    <w:rsid w:val="00B97391"/>
    <w:rsid w:val="00BA3246"/>
    <w:rsid w:val="00BB11D9"/>
    <w:rsid w:val="00BB4CE8"/>
    <w:rsid w:val="00BB7E5D"/>
    <w:rsid w:val="00BC123E"/>
    <w:rsid w:val="00BC4014"/>
    <w:rsid w:val="00BE0D04"/>
    <w:rsid w:val="00BE3D83"/>
    <w:rsid w:val="00BE66D1"/>
    <w:rsid w:val="00BE6A88"/>
    <w:rsid w:val="00BE736B"/>
    <w:rsid w:val="00BE7606"/>
    <w:rsid w:val="00BF50C6"/>
    <w:rsid w:val="00C055DC"/>
    <w:rsid w:val="00C062A8"/>
    <w:rsid w:val="00C10D0A"/>
    <w:rsid w:val="00C20DDA"/>
    <w:rsid w:val="00C20E8A"/>
    <w:rsid w:val="00C21837"/>
    <w:rsid w:val="00C23EC1"/>
    <w:rsid w:val="00C256B5"/>
    <w:rsid w:val="00C257BF"/>
    <w:rsid w:val="00C30EC7"/>
    <w:rsid w:val="00C31A2F"/>
    <w:rsid w:val="00C3367B"/>
    <w:rsid w:val="00C33DEB"/>
    <w:rsid w:val="00C34AC8"/>
    <w:rsid w:val="00C3748A"/>
    <w:rsid w:val="00C41574"/>
    <w:rsid w:val="00C43211"/>
    <w:rsid w:val="00C4524F"/>
    <w:rsid w:val="00C46F6C"/>
    <w:rsid w:val="00C60DA5"/>
    <w:rsid w:val="00C661E8"/>
    <w:rsid w:val="00C67D73"/>
    <w:rsid w:val="00C7239F"/>
    <w:rsid w:val="00C75C87"/>
    <w:rsid w:val="00C77340"/>
    <w:rsid w:val="00C80996"/>
    <w:rsid w:val="00C8456A"/>
    <w:rsid w:val="00C90C3E"/>
    <w:rsid w:val="00C92E97"/>
    <w:rsid w:val="00C93251"/>
    <w:rsid w:val="00C968A4"/>
    <w:rsid w:val="00CA35D1"/>
    <w:rsid w:val="00CA64E5"/>
    <w:rsid w:val="00CD3584"/>
    <w:rsid w:val="00CE1409"/>
    <w:rsid w:val="00CE5212"/>
    <w:rsid w:val="00CE6327"/>
    <w:rsid w:val="00CE7FA9"/>
    <w:rsid w:val="00CF3B3A"/>
    <w:rsid w:val="00CF4F4C"/>
    <w:rsid w:val="00CF6323"/>
    <w:rsid w:val="00D00CB0"/>
    <w:rsid w:val="00D05CEA"/>
    <w:rsid w:val="00D11F5D"/>
    <w:rsid w:val="00D1524D"/>
    <w:rsid w:val="00D154B2"/>
    <w:rsid w:val="00D15E2C"/>
    <w:rsid w:val="00D17DEC"/>
    <w:rsid w:val="00D22351"/>
    <w:rsid w:val="00D22A8D"/>
    <w:rsid w:val="00D22DAE"/>
    <w:rsid w:val="00D23407"/>
    <w:rsid w:val="00D23481"/>
    <w:rsid w:val="00D26A6F"/>
    <w:rsid w:val="00D30E1E"/>
    <w:rsid w:val="00D313E3"/>
    <w:rsid w:val="00D33A32"/>
    <w:rsid w:val="00D362C4"/>
    <w:rsid w:val="00D415AC"/>
    <w:rsid w:val="00D470BA"/>
    <w:rsid w:val="00D5294E"/>
    <w:rsid w:val="00D53CE4"/>
    <w:rsid w:val="00D55744"/>
    <w:rsid w:val="00D739C6"/>
    <w:rsid w:val="00D77B7E"/>
    <w:rsid w:val="00D801B1"/>
    <w:rsid w:val="00D84D6A"/>
    <w:rsid w:val="00D87DF0"/>
    <w:rsid w:val="00D91832"/>
    <w:rsid w:val="00D92AA1"/>
    <w:rsid w:val="00DA2098"/>
    <w:rsid w:val="00DA3B1E"/>
    <w:rsid w:val="00DA7254"/>
    <w:rsid w:val="00DB0B2A"/>
    <w:rsid w:val="00DB1D8C"/>
    <w:rsid w:val="00DB2491"/>
    <w:rsid w:val="00DB5C66"/>
    <w:rsid w:val="00DC18D0"/>
    <w:rsid w:val="00DC18EF"/>
    <w:rsid w:val="00DC2B7E"/>
    <w:rsid w:val="00DC715E"/>
    <w:rsid w:val="00DC726E"/>
    <w:rsid w:val="00DD226B"/>
    <w:rsid w:val="00DD70B8"/>
    <w:rsid w:val="00DE3FE5"/>
    <w:rsid w:val="00DF72B5"/>
    <w:rsid w:val="00DF7EA2"/>
    <w:rsid w:val="00E02A0D"/>
    <w:rsid w:val="00E05A73"/>
    <w:rsid w:val="00E05ADB"/>
    <w:rsid w:val="00E07E3A"/>
    <w:rsid w:val="00E12411"/>
    <w:rsid w:val="00E138E1"/>
    <w:rsid w:val="00E210E9"/>
    <w:rsid w:val="00E212CB"/>
    <w:rsid w:val="00E212FE"/>
    <w:rsid w:val="00E2284B"/>
    <w:rsid w:val="00E22B7E"/>
    <w:rsid w:val="00E30E21"/>
    <w:rsid w:val="00E337D6"/>
    <w:rsid w:val="00E3485F"/>
    <w:rsid w:val="00E36989"/>
    <w:rsid w:val="00E44607"/>
    <w:rsid w:val="00E45633"/>
    <w:rsid w:val="00E45C90"/>
    <w:rsid w:val="00E467B7"/>
    <w:rsid w:val="00E46C2A"/>
    <w:rsid w:val="00E52DBA"/>
    <w:rsid w:val="00E53094"/>
    <w:rsid w:val="00E555A5"/>
    <w:rsid w:val="00E55D8E"/>
    <w:rsid w:val="00E57665"/>
    <w:rsid w:val="00E61AA7"/>
    <w:rsid w:val="00E62AFF"/>
    <w:rsid w:val="00E63408"/>
    <w:rsid w:val="00E70E1C"/>
    <w:rsid w:val="00E7296A"/>
    <w:rsid w:val="00E746EA"/>
    <w:rsid w:val="00E80D56"/>
    <w:rsid w:val="00E83F5D"/>
    <w:rsid w:val="00E85342"/>
    <w:rsid w:val="00E85B25"/>
    <w:rsid w:val="00E90361"/>
    <w:rsid w:val="00E92252"/>
    <w:rsid w:val="00E93A08"/>
    <w:rsid w:val="00E97FFB"/>
    <w:rsid w:val="00EA54E9"/>
    <w:rsid w:val="00EA642E"/>
    <w:rsid w:val="00EB3643"/>
    <w:rsid w:val="00EB49C5"/>
    <w:rsid w:val="00EC2942"/>
    <w:rsid w:val="00ED22C2"/>
    <w:rsid w:val="00EE0907"/>
    <w:rsid w:val="00EE0ED3"/>
    <w:rsid w:val="00EE4AA7"/>
    <w:rsid w:val="00EE6810"/>
    <w:rsid w:val="00EE6885"/>
    <w:rsid w:val="00EE6F15"/>
    <w:rsid w:val="00EE7868"/>
    <w:rsid w:val="00EF28F8"/>
    <w:rsid w:val="00EF352B"/>
    <w:rsid w:val="00EF5F89"/>
    <w:rsid w:val="00EF6B5D"/>
    <w:rsid w:val="00EF72E1"/>
    <w:rsid w:val="00F0016E"/>
    <w:rsid w:val="00F062C6"/>
    <w:rsid w:val="00F11B17"/>
    <w:rsid w:val="00F122BD"/>
    <w:rsid w:val="00F32FF9"/>
    <w:rsid w:val="00F342A1"/>
    <w:rsid w:val="00F35438"/>
    <w:rsid w:val="00F37B25"/>
    <w:rsid w:val="00F44DA2"/>
    <w:rsid w:val="00F459C9"/>
    <w:rsid w:val="00F479DB"/>
    <w:rsid w:val="00F54804"/>
    <w:rsid w:val="00F54DFF"/>
    <w:rsid w:val="00F60C6F"/>
    <w:rsid w:val="00F64C45"/>
    <w:rsid w:val="00F6755B"/>
    <w:rsid w:val="00F712AA"/>
    <w:rsid w:val="00F76FE2"/>
    <w:rsid w:val="00F81FED"/>
    <w:rsid w:val="00F8262F"/>
    <w:rsid w:val="00F82716"/>
    <w:rsid w:val="00F84862"/>
    <w:rsid w:val="00F9230B"/>
    <w:rsid w:val="00F9328E"/>
    <w:rsid w:val="00FA1639"/>
    <w:rsid w:val="00FA24F7"/>
    <w:rsid w:val="00FA408F"/>
    <w:rsid w:val="00FB1727"/>
    <w:rsid w:val="00FB1F6A"/>
    <w:rsid w:val="00FC3330"/>
    <w:rsid w:val="00FC48E8"/>
    <w:rsid w:val="00FC4B93"/>
    <w:rsid w:val="00FC5E86"/>
    <w:rsid w:val="00FD639A"/>
    <w:rsid w:val="00FE17D8"/>
    <w:rsid w:val="00FE1FDA"/>
    <w:rsid w:val="00FF0C39"/>
    <w:rsid w:val="00FF15D8"/>
    <w:rsid w:val="00FF39FB"/>
    <w:rsid w:val="00FF6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79946"/>
  <w15:docId w15:val="{9B2FE058-914C-43E8-84D2-D01ACC05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BA"/>
    <w:pPr>
      <w:spacing w:after="160" w:line="480" w:lineRule="auto"/>
      <w:jc w:val="both"/>
    </w:pPr>
    <w:rPr>
      <w:rFonts w:ascii="Times New Roman" w:eastAsia="Calibri" w:hAnsi="Times New Roman" w:cs="Arial"/>
      <w:sz w:val="24"/>
    </w:rPr>
  </w:style>
  <w:style w:type="paragraph" w:styleId="Heading1">
    <w:name w:val="heading 1"/>
    <w:basedOn w:val="Normal"/>
    <w:next w:val="Normal"/>
    <w:link w:val="Heading1Char"/>
    <w:qFormat/>
    <w:rsid w:val="00E210E9"/>
    <w:pPr>
      <w:keepNext/>
      <w:spacing w:after="0" w:line="360" w:lineRule="auto"/>
      <w:outlineLvl w:val="0"/>
    </w:pPr>
    <w:rPr>
      <w:rFonts w:eastAsia="Times New Roman" w:cs="Times New Roman"/>
      <w:b/>
      <w:bCs/>
      <w:szCs w:val="24"/>
      <w:lang w:val="en-GB"/>
    </w:rPr>
  </w:style>
  <w:style w:type="paragraph" w:styleId="Heading2">
    <w:name w:val="heading 2"/>
    <w:basedOn w:val="Normal"/>
    <w:next w:val="Normal"/>
    <w:link w:val="Heading2Char"/>
    <w:unhideWhenUsed/>
    <w:qFormat/>
    <w:rsid w:val="00E210E9"/>
    <w:pPr>
      <w:keepNext/>
      <w:spacing w:before="240" w:after="60" w:line="240" w:lineRule="auto"/>
      <w:outlineLvl w:val="1"/>
    </w:pPr>
    <w:rPr>
      <w:rFonts w:eastAsia="Times New Roman" w:cs="Times New Roman"/>
      <w:b/>
      <w:bCs/>
      <w:iCs/>
      <w:szCs w:val="28"/>
    </w:rPr>
  </w:style>
  <w:style w:type="paragraph" w:styleId="Heading3">
    <w:name w:val="heading 3"/>
    <w:basedOn w:val="Normal"/>
    <w:next w:val="Normal"/>
    <w:link w:val="Heading3Char"/>
    <w:unhideWhenUsed/>
    <w:qFormat/>
    <w:rsid w:val="00E57665"/>
    <w:pPr>
      <w:keepNext/>
      <w:keepLines/>
      <w:spacing w:before="200" w:after="0" w:line="276" w:lineRule="auto"/>
      <w:jc w:val="left"/>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nhideWhenUsed/>
    <w:qFormat/>
    <w:rsid w:val="00E57665"/>
    <w:pPr>
      <w:keepNext/>
      <w:keepLines/>
      <w:spacing w:before="200" w:after="0" w:line="276" w:lineRule="auto"/>
      <w:jc w:val="left"/>
      <w:outlineLvl w:val="3"/>
    </w:pPr>
    <w:rPr>
      <w:rFonts w:eastAsiaTheme="majorEastAsia" w:cstheme="majorBidi"/>
      <w:b/>
      <w:bCs/>
      <w:iCs/>
      <w:color w:val="000000" w:themeColor="text1"/>
    </w:rPr>
  </w:style>
  <w:style w:type="paragraph" w:styleId="Heading5">
    <w:name w:val="heading 5"/>
    <w:basedOn w:val="Normal"/>
    <w:next w:val="Normal"/>
    <w:link w:val="Heading5Char"/>
    <w:unhideWhenUsed/>
    <w:qFormat/>
    <w:rsid w:val="00E57665"/>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nhideWhenUsed/>
    <w:qFormat/>
    <w:rsid w:val="00E57665"/>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57665"/>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57665"/>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7665"/>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2DBA"/>
    <w:pPr>
      <w:tabs>
        <w:tab w:val="center" w:pos="4680"/>
        <w:tab w:val="right" w:pos="9360"/>
      </w:tabs>
      <w:spacing w:after="0" w:line="240" w:lineRule="auto"/>
    </w:pPr>
  </w:style>
  <w:style w:type="character" w:customStyle="1" w:styleId="HeaderChar">
    <w:name w:val="Header Char"/>
    <w:basedOn w:val="DefaultParagraphFont"/>
    <w:link w:val="Header"/>
    <w:qFormat/>
    <w:rsid w:val="00E52DBA"/>
    <w:rPr>
      <w:rFonts w:ascii="Times New Roman" w:eastAsia="Calibri" w:hAnsi="Times New Roman" w:cs="Arial"/>
      <w:sz w:val="24"/>
    </w:rPr>
  </w:style>
  <w:style w:type="paragraph" w:styleId="Footer">
    <w:name w:val="footer"/>
    <w:basedOn w:val="Normal"/>
    <w:link w:val="FooterChar"/>
    <w:uiPriority w:val="99"/>
    <w:rsid w:val="00E5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BA"/>
    <w:rPr>
      <w:rFonts w:ascii="Times New Roman" w:eastAsia="Calibri" w:hAnsi="Times New Roman" w:cs="Arial"/>
      <w:sz w:val="24"/>
    </w:rPr>
  </w:style>
  <w:style w:type="character" w:styleId="Hyperlink">
    <w:name w:val="Hyperlink"/>
    <w:basedOn w:val="DefaultParagraphFont"/>
    <w:uiPriority w:val="99"/>
    <w:rsid w:val="00E52DBA"/>
    <w:rPr>
      <w:color w:val="0563C1"/>
      <w:u w:val="single"/>
    </w:rPr>
  </w:style>
  <w:style w:type="paragraph" w:styleId="ListParagraph">
    <w:name w:val="List Paragraph"/>
    <w:aliases w:val="kepala,ANNEX,List Paragraph1,sub SUBBAB,Sub2,List Paragraph11,Body of text,Header Char1,Body of text+1,Body of text+2,Body of text+3,Medium Grid 1 - Accent 21,Colorful List - Accent 11,HEADING 1,skripsi,Body Text Char1,Char Char2,kepala 1"/>
    <w:basedOn w:val="Normal"/>
    <w:link w:val="ListParagraphChar"/>
    <w:uiPriority w:val="34"/>
    <w:qFormat/>
    <w:rsid w:val="00E52DBA"/>
    <w:pPr>
      <w:ind w:left="720"/>
      <w:contextualSpacing/>
    </w:pPr>
  </w:style>
  <w:style w:type="paragraph" w:customStyle="1" w:styleId="Default">
    <w:name w:val="Default"/>
    <w:rsid w:val="00E52DBA"/>
    <w:pPr>
      <w:autoSpaceDE w:val="0"/>
      <w:autoSpaceDN w:val="0"/>
      <w:adjustRightInd w:val="0"/>
      <w:spacing w:line="240" w:lineRule="auto"/>
      <w:jc w:val="left"/>
    </w:pPr>
    <w:rPr>
      <w:rFonts w:ascii="Times New Arabic" w:hAnsi="Times New Arabic" w:cs="Times New Arabic"/>
      <w:color w:val="000000"/>
      <w:sz w:val="24"/>
      <w:szCs w:val="24"/>
    </w:rPr>
  </w:style>
  <w:style w:type="paragraph" w:styleId="HTMLPreformatted">
    <w:name w:val="HTML Preformatted"/>
    <w:basedOn w:val="Normal"/>
    <w:link w:val="HTMLPreformattedChar"/>
    <w:uiPriority w:val="99"/>
    <w:unhideWhenUsed/>
    <w:rsid w:val="0070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14E2"/>
    <w:rPr>
      <w:rFonts w:ascii="Courier New" w:eastAsia="Times New Roman" w:hAnsi="Courier New" w:cs="Courier New"/>
      <w:sz w:val="20"/>
      <w:szCs w:val="20"/>
    </w:rPr>
  </w:style>
  <w:style w:type="paragraph" w:styleId="NormalWeb">
    <w:name w:val="Normal (Web)"/>
    <w:basedOn w:val="Normal"/>
    <w:uiPriority w:val="99"/>
    <w:unhideWhenUsed/>
    <w:rsid w:val="00E92252"/>
    <w:pPr>
      <w:spacing w:before="100" w:beforeAutospacing="1" w:after="100" w:afterAutospacing="1" w:line="240" w:lineRule="auto"/>
      <w:jc w:val="left"/>
    </w:pPr>
    <w:rPr>
      <w:rFonts w:eastAsia="Times New Roman" w:cs="Times New Roman"/>
      <w:szCs w:val="24"/>
    </w:rPr>
  </w:style>
  <w:style w:type="paragraph" w:styleId="BalloonText">
    <w:name w:val="Balloon Text"/>
    <w:basedOn w:val="Normal"/>
    <w:link w:val="BalloonTextChar"/>
    <w:uiPriority w:val="99"/>
    <w:semiHidden/>
    <w:unhideWhenUsed/>
    <w:rsid w:val="00F9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28E"/>
    <w:rPr>
      <w:rFonts w:ascii="Tahoma" w:eastAsia="Calibri" w:hAnsi="Tahoma" w:cs="Tahoma"/>
      <w:sz w:val="16"/>
      <w:szCs w:val="16"/>
    </w:rPr>
  </w:style>
  <w:style w:type="paragraph" w:styleId="EndnoteText">
    <w:name w:val="endnote text"/>
    <w:basedOn w:val="Normal"/>
    <w:link w:val="EndnoteTextChar"/>
    <w:uiPriority w:val="99"/>
    <w:semiHidden/>
    <w:unhideWhenUsed/>
    <w:rsid w:val="009C72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728A"/>
    <w:rPr>
      <w:rFonts w:ascii="Times New Roman" w:eastAsia="Calibri" w:hAnsi="Times New Roman" w:cs="Arial"/>
      <w:sz w:val="20"/>
      <w:szCs w:val="20"/>
    </w:rPr>
  </w:style>
  <w:style w:type="character" w:styleId="EndnoteReference">
    <w:name w:val="endnote reference"/>
    <w:basedOn w:val="DefaultParagraphFont"/>
    <w:uiPriority w:val="99"/>
    <w:semiHidden/>
    <w:unhideWhenUsed/>
    <w:rsid w:val="009C728A"/>
    <w:rPr>
      <w:vertAlign w:val="superscript"/>
    </w:rPr>
  </w:style>
  <w:style w:type="paragraph" w:styleId="FootnoteText">
    <w:name w:val="footnote text"/>
    <w:aliases w:val="Char Char Char,Char Char Char Char Char,Footnote Text Char Char,Footnote Text2,Footnote Text Char Char2,Footnote Text1,Footnote Text Char Char1,Footnote Text Char Char Char"/>
    <w:basedOn w:val="Normal"/>
    <w:link w:val="FootnoteTextChar"/>
    <w:unhideWhenUsed/>
    <w:rsid w:val="00B657A3"/>
    <w:pPr>
      <w:spacing w:after="0" w:line="240" w:lineRule="auto"/>
      <w:jc w:val="left"/>
    </w:pPr>
    <w:rPr>
      <w:rFonts w:asciiTheme="minorHAnsi" w:eastAsiaTheme="minorHAnsi" w:hAnsiTheme="minorHAnsi" w:cstheme="minorBidi"/>
      <w:sz w:val="20"/>
      <w:szCs w:val="20"/>
    </w:rPr>
  </w:style>
  <w:style w:type="character" w:customStyle="1" w:styleId="FootnoteTextChar">
    <w:name w:val="Footnote Text Char"/>
    <w:aliases w:val="Char Char Char Char,Char Char Char Char Char Char,Footnote Text Char Char Char1,Footnote Text2 Char,Footnote Text Char Char2 Char,Footnote Text1 Char,Footnote Text Char Char1 Char,Footnote Text Char Char Char Char"/>
    <w:basedOn w:val="DefaultParagraphFont"/>
    <w:link w:val="FootnoteText"/>
    <w:rsid w:val="00B657A3"/>
    <w:rPr>
      <w:sz w:val="20"/>
      <w:szCs w:val="20"/>
    </w:rPr>
  </w:style>
  <w:style w:type="character" w:customStyle="1" w:styleId="ListParagraphChar">
    <w:name w:val="List Paragraph Char"/>
    <w:aliases w:val="kepala Char,ANNEX Char,List Paragraph1 Char,sub SUBBAB Char,Sub2 Char,List Paragraph11 Char,Body of text Char,Header Char1 Char,Body of text+1 Char,Body of text+2 Char,Body of text+3 Char,Medium Grid 1 - Accent 21 Char,HEADING 1 Char"/>
    <w:link w:val="ListParagraph"/>
    <w:uiPriority w:val="34"/>
    <w:qFormat/>
    <w:locked/>
    <w:rsid w:val="00B657A3"/>
    <w:rPr>
      <w:rFonts w:ascii="Times New Roman" w:eastAsia="Calibri" w:hAnsi="Times New Roman" w:cs="Arial"/>
      <w:sz w:val="24"/>
    </w:rPr>
  </w:style>
  <w:style w:type="character" w:customStyle="1" w:styleId="Heading1Char">
    <w:name w:val="Heading 1 Char"/>
    <w:basedOn w:val="DefaultParagraphFont"/>
    <w:link w:val="Heading1"/>
    <w:rsid w:val="00E210E9"/>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210E9"/>
    <w:rPr>
      <w:rFonts w:ascii="Times New Roman" w:eastAsia="Times New Roman" w:hAnsi="Times New Roman" w:cs="Times New Roman"/>
      <w:b/>
      <w:bCs/>
      <w:iCs/>
      <w:sz w:val="24"/>
      <w:szCs w:val="28"/>
    </w:rPr>
  </w:style>
  <w:style w:type="numbering" w:customStyle="1" w:styleId="NoList1">
    <w:name w:val="No List1"/>
    <w:next w:val="NoList"/>
    <w:uiPriority w:val="99"/>
    <w:semiHidden/>
    <w:unhideWhenUsed/>
    <w:rsid w:val="00E210E9"/>
  </w:style>
  <w:style w:type="character" w:styleId="FootnoteReference">
    <w:name w:val="footnote reference"/>
    <w:uiPriority w:val="99"/>
    <w:unhideWhenUsed/>
    <w:rsid w:val="00E210E9"/>
    <w:rPr>
      <w:vertAlign w:val="superscript"/>
    </w:rPr>
  </w:style>
  <w:style w:type="paragraph" w:styleId="Subtitle">
    <w:name w:val="Subtitle"/>
    <w:basedOn w:val="Normal"/>
    <w:link w:val="SubtitleChar"/>
    <w:qFormat/>
    <w:rsid w:val="00E210E9"/>
    <w:pPr>
      <w:spacing w:after="0" w:line="360" w:lineRule="auto"/>
    </w:pPr>
    <w:rPr>
      <w:rFonts w:eastAsia="Times New Roman" w:cs="Times New Roman"/>
      <w:b/>
      <w:bCs/>
      <w:szCs w:val="24"/>
      <w:lang w:val="en-GB"/>
    </w:rPr>
  </w:style>
  <w:style w:type="character" w:customStyle="1" w:styleId="SubtitleChar">
    <w:name w:val="Subtitle Char"/>
    <w:basedOn w:val="DefaultParagraphFont"/>
    <w:link w:val="Subtitle"/>
    <w:rsid w:val="00E210E9"/>
    <w:rPr>
      <w:rFonts w:ascii="Times New Roman" w:eastAsia="Times New Roman" w:hAnsi="Times New Roman" w:cs="Times New Roman"/>
      <w:b/>
      <w:bCs/>
      <w:sz w:val="24"/>
      <w:szCs w:val="24"/>
      <w:lang w:val="en-GB"/>
    </w:rPr>
  </w:style>
  <w:style w:type="table" w:styleId="TableGrid">
    <w:name w:val="Table Grid"/>
    <w:basedOn w:val="TableNormal"/>
    <w:uiPriority w:val="39"/>
    <w:qFormat/>
    <w:rsid w:val="00E210E9"/>
    <w:pPr>
      <w:spacing w:line="240" w:lineRule="auto"/>
      <w:jc w:val="left"/>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MediumList11">
    <w:name w:val="Medium List 11"/>
    <w:basedOn w:val="TableNormal"/>
    <w:uiPriority w:val="65"/>
    <w:rsid w:val="00E210E9"/>
    <w:pPr>
      <w:spacing w:line="240" w:lineRule="auto"/>
      <w:jc w:val="left"/>
    </w:pPr>
    <w:rPr>
      <w:rFonts w:ascii="Times New Roman" w:eastAsia="Times New Roman" w:hAnsi="Times New Roman" w:cs="Times New Roman"/>
      <w:color w:val="008000"/>
      <w:sz w:val="20"/>
      <w:szCs w:val="20"/>
      <w:lang w:eastAsia="id-ID"/>
    </w:rPr>
    <w:tblPr>
      <w:tblStyleRowBandSize w:val="1"/>
      <w:tblStyleColBandSize w:val="1"/>
      <w:tblBorders>
        <w:top w:val="single" w:sz="8" w:space="0" w:color="008000"/>
        <w:bottom w:val="single" w:sz="8" w:space="0" w:color="008000"/>
      </w:tblBorders>
    </w:tblPr>
    <w:tblStylePr w:type="firstRow">
      <w:rPr>
        <w:rFonts w:ascii="Cambria" w:eastAsia="Times New Roman" w:hAnsi="Cambria" w:cs="Times New Roman"/>
      </w:rPr>
      <w:tblPr/>
      <w:tcPr>
        <w:tcBorders>
          <w:top w:val="nil"/>
          <w:bottom w:val="single" w:sz="8" w:space="0" w:color="008000"/>
        </w:tcBorders>
      </w:tcPr>
    </w:tblStylePr>
    <w:tblStylePr w:type="lastRow">
      <w:rPr>
        <w:b/>
        <w:bCs/>
        <w:color w:val="1F497D"/>
      </w:rPr>
      <w:tblPr/>
      <w:tcPr>
        <w:tcBorders>
          <w:top w:val="single" w:sz="8" w:space="0" w:color="008000"/>
          <w:bottom w:val="single" w:sz="8" w:space="0" w:color="008000"/>
        </w:tcBorders>
      </w:tcPr>
    </w:tblStylePr>
    <w:tblStylePr w:type="firstCol">
      <w:rPr>
        <w:b/>
        <w:bCs/>
      </w:rPr>
    </w:tblStylePr>
    <w:tblStylePr w:type="lastCol">
      <w:rPr>
        <w:b/>
        <w:bCs/>
      </w:rPr>
      <w:tblPr/>
      <w:tcPr>
        <w:tcBorders>
          <w:top w:val="single" w:sz="8" w:space="0" w:color="008000"/>
          <w:bottom w:val="single" w:sz="8" w:space="0" w:color="008000"/>
        </w:tcBorders>
      </w:tcPr>
    </w:tblStylePr>
    <w:tblStylePr w:type="band1Vert">
      <w:tblPr/>
      <w:tcPr>
        <w:shd w:val="clear" w:color="auto" w:fill="A0FFA0"/>
      </w:tcPr>
    </w:tblStylePr>
    <w:tblStylePr w:type="band1Horz">
      <w:tblPr/>
      <w:tcPr>
        <w:shd w:val="clear" w:color="auto" w:fill="A0FFA0"/>
      </w:tcPr>
    </w:tblStylePr>
  </w:style>
  <w:style w:type="paragraph" w:styleId="TOCHeading">
    <w:name w:val="TOC Heading"/>
    <w:basedOn w:val="Heading1"/>
    <w:next w:val="Normal"/>
    <w:uiPriority w:val="39"/>
    <w:unhideWhenUsed/>
    <w:qFormat/>
    <w:rsid w:val="00E210E9"/>
    <w:pPr>
      <w:keepLines/>
      <w:spacing w:before="480" w:line="276" w:lineRule="auto"/>
      <w:jc w:val="left"/>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E210E9"/>
    <w:pPr>
      <w:spacing w:after="0" w:line="240" w:lineRule="auto"/>
    </w:pPr>
    <w:rPr>
      <w:rFonts w:eastAsia="Times New Roman" w:cs="Times New Roman"/>
      <w:szCs w:val="24"/>
    </w:rPr>
  </w:style>
  <w:style w:type="paragraph" w:styleId="TOC2">
    <w:name w:val="toc 2"/>
    <w:basedOn w:val="Normal"/>
    <w:next w:val="Normal"/>
    <w:autoRedefine/>
    <w:uiPriority w:val="39"/>
    <w:unhideWhenUsed/>
    <w:rsid w:val="00E210E9"/>
    <w:pPr>
      <w:spacing w:after="0" w:line="240" w:lineRule="auto"/>
      <w:ind w:left="240"/>
    </w:pPr>
    <w:rPr>
      <w:rFonts w:eastAsia="Times New Roman" w:cs="Times New Roman"/>
      <w:szCs w:val="24"/>
    </w:rPr>
  </w:style>
  <w:style w:type="character" w:styleId="PlaceholderText">
    <w:name w:val="Placeholder Text"/>
    <w:uiPriority w:val="99"/>
    <w:semiHidden/>
    <w:rsid w:val="00E210E9"/>
    <w:rPr>
      <w:color w:val="808080"/>
    </w:rPr>
  </w:style>
  <w:style w:type="paragraph" w:styleId="Bibliography">
    <w:name w:val="Bibliography"/>
    <w:basedOn w:val="Normal"/>
    <w:next w:val="Normal"/>
    <w:uiPriority w:val="37"/>
    <w:unhideWhenUsed/>
    <w:rsid w:val="00B60231"/>
  </w:style>
  <w:style w:type="character" w:styleId="Emphasis">
    <w:name w:val="Emphasis"/>
    <w:basedOn w:val="DefaultParagraphFont"/>
    <w:uiPriority w:val="20"/>
    <w:qFormat/>
    <w:rsid w:val="007111C0"/>
    <w:rPr>
      <w:i/>
      <w:iCs/>
    </w:rPr>
  </w:style>
  <w:style w:type="paragraph" w:styleId="NoSpacing">
    <w:name w:val="No Spacing"/>
    <w:link w:val="NoSpacingChar"/>
    <w:uiPriority w:val="1"/>
    <w:qFormat/>
    <w:rsid w:val="001241B4"/>
    <w:pPr>
      <w:spacing w:line="240" w:lineRule="auto"/>
      <w:jc w:val="left"/>
    </w:pPr>
    <w:rPr>
      <w:rFonts w:eastAsiaTheme="minorEastAsia"/>
    </w:rPr>
  </w:style>
  <w:style w:type="character" w:customStyle="1" w:styleId="NoSpacingChar">
    <w:name w:val="No Spacing Char"/>
    <w:basedOn w:val="DefaultParagraphFont"/>
    <w:link w:val="NoSpacing"/>
    <w:uiPriority w:val="1"/>
    <w:rsid w:val="001241B4"/>
    <w:rPr>
      <w:rFonts w:eastAsiaTheme="minorEastAsia"/>
    </w:rPr>
  </w:style>
  <w:style w:type="paragraph" w:styleId="Revision">
    <w:name w:val="Revision"/>
    <w:hidden/>
    <w:uiPriority w:val="99"/>
    <w:semiHidden/>
    <w:rsid w:val="001241B4"/>
    <w:pPr>
      <w:spacing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41B4"/>
    <w:rPr>
      <w:sz w:val="16"/>
      <w:szCs w:val="16"/>
    </w:rPr>
  </w:style>
  <w:style w:type="paragraph" w:styleId="CommentText">
    <w:name w:val="annotation text"/>
    <w:basedOn w:val="Normal"/>
    <w:link w:val="CommentTextChar"/>
    <w:uiPriority w:val="99"/>
    <w:unhideWhenUsed/>
    <w:rsid w:val="001241B4"/>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uiPriority w:val="99"/>
    <w:rsid w:val="001241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1B4"/>
    <w:rPr>
      <w:b/>
      <w:bCs/>
    </w:rPr>
  </w:style>
  <w:style w:type="character" w:customStyle="1" w:styleId="CommentSubjectChar">
    <w:name w:val="Comment Subject Char"/>
    <w:basedOn w:val="CommentTextChar"/>
    <w:link w:val="CommentSubject"/>
    <w:uiPriority w:val="99"/>
    <w:semiHidden/>
    <w:rsid w:val="001241B4"/>
    <w:rPr>
      <w:rFonts w:ascii="Times New Roman" w:eastAsia="Times New Roman" w:hAnsi="Times New Roman" w:cs="Times New Roman"/>
      <w:b/>
      <w:bCs/>
      <w:sz w:val="20"/>
      <w:szCs w:val="20"/>
    </w:rPr>
  </w:style>
  <w:style w:type="character" w:customStyle="1" w:styleId="st">
    <w:name w:val="st"/>
    <w:basedOn w:val="DefaultParagraphFont"/>
    <w:rsid w:val="001241B4"/>
  </w:style>
  <w:style w:type="paragraph" w:customStyle="1" w:styleId="titelfatwakecil">
    <w:name w:val="titel_fatwa_kecil"/>
    <w:basedOn w:val="Normal"/>
    <w:rsid w:val="001241B4"/>
    <w:pPr>
      <w:spacing w:before="100" w:beforeAutospacing="1" w:after="100" w:afterAutospacing="1" w:line="240" w:lineRule="auto"/>
      <w:jc w:val="left"/>
    </w:pPr>
    <w:rPr>
      <w:rFonts w:eastAsia="Times New Roman" w:cs="Times New Roman"/>
      <w:szCs w:val="24"/>
      <w:lang w:val="en-ID" w:eastAsia="en-ID"/>
    </w:rPr>
  </w:style>
  <w:style w:type="character" w:customStyle="1" w:styleId="titelfatwabesar">
    <w:name w:val="titel_fatwa_besar"/>
    <w:basedOn w:val="DefaultParagraphFont"/>
    <w:rsid w:val="001241B4"/>
  </w:style>
  <w:style w:type="character" w:customStyle="1" w:styleId="UnresolvedMention1">
    <w:name w:val="Unresolved Mention1"/>
    <w:basedOn w:val="DefaultParagraphFont"/>
    <w:uiPriority w:val="99"/>
    <w:semiHidden/>
    <w:unhideWhenUsed/>
    <w:rsid w:val="001241B4"/>
    <w:rPr>
      <w:color w:val="605E5C"/>
      <w:shd w:val="clear" w:color="auto" w:fill="E1DFDD"/>
    </w:rPr>
  </w:style>
  <w:style w:type="character" w:customStyle="1" w:styleId="tlid-translation">
    <w:name w:val="tlid-translation"/>
    <w:basedOn w:val="DefaultParagraphFont"/>
    <w:rsid w:val="001241B4"/>
  </w:style>
  <w:style w:type="character" w:styleId="FollowedHyperlink">
    <w:name w:val="FollowedHyperlink"/>
    <w:basedOn w:val="DefaultParagraphFont"/>
    <w:uiPriority w:val="99"/>
    <w:semiHidden/>
    <w:unhideWhenUsed/>
    <w:rsid w:val="00E212FE"/>
    <w:rPr>
      <w:color w:val="800080" w:themeColor="followedHyperlink"/>
      <w:u w:val="single"/>
    </w:rPr>
  </w:style>
  <w:style w:type="character" w:customStyle="1" w:styleId="mceitemhidden">
    <w:name w:val="mceitemhidden"/>
    <w:basedOn w:val="DefaultParagraphFont"/>
    <w:rsid w:val="00612718"/>
  </w:style>
  <w:style w:type="character" w:customStyle="1" w:styleId="label">
    <w:name w:val="label"/>
    <w:basedOn w:val="DefaultParagraphFont"/>
    <w:rsid w:val="009F09EB"/>
  </w:style>
  <w:style w:type="character" w:customStyle="1" w:styleId="Heading3Char">
    <w:name w:val="Heading 3 Char"/>
    <w:basedOn w:val="DefaultParagraphFont"/>
    <w:link w:val="Heading3"/>
    <w:uiPriority w:val="9"/>
    <w:rsid w:val="00E5766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E5766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rsid w:val="00E5766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5766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E5766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576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76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57665"/>
    <w:pPr>
      <w:spacing w:after="200" w:line="240" w:lineRule="auto"/>
      <w:jc w:val="left"/>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E57665"/>
    <w:rPr>
      <w:b/>
      <w:bCs/>
    </w:rPr>
  </w:style>
  <w:style w:type="character" w:customStyle="1" w:styleId="ms-rtestyle-quote">
    <w:name w:val="ms-rtestyle-quote"/>
    <w:basedOn w:val="DefaultParagraphFont"/>
    <w:rsid w:val="00E57665"/>
  </w:style>
  <w:style w:type="table" w:styleId="LightShading">
    <w:name w:val="Light Shading"/>
    <w:basedOn w:val="TableNormal"/>
    <w:uiPriority w:val="60"/>
    <w:rsid w:val="00E57665"/>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1">
    <w:name w:val="Plain Table 41"/>
    <w:basedOn w:val="TableNormal"/>
    <w:uiPriority w:val="44"/>
    <w:rsid w:val="00E57665"/>
    <w:pPr>
      <w:spacing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E57665"/>
    <w:pPr>
      <w:tabs>
        <w:tab w:val="left" w:pos="1134"/>
        <w:tab w:val="right" w:leader="dot" w:pos="8261"/>
      </w:tabs>
      <w:spacing w:after="0" w:line="360" w:lineRule="auto"/>
      <w:ind w:left="567"/>
      <w:jc w:val="left"/>
    </w:pPr>
    <w:rPr>
      <w:rFonts w:asciiTheme="minorHAnsi" w:eastAsiaTheme="minorHAnsi" w:hAnsiTheme="minorHAnsi" w:cstheme="minorBidi"/>
      <w:sz w:val="22"/>
    </w:rPr>
  </w:style>
  <w:style w:type="paragraph" w:styleId="TableofFigures">
    <w:name w:val="table of figures"/>
    <w:basedOn w:val="Normal"/>
    <w:next w:val="Normal"/>
    <w:uiPriority w:val="99"/>
    <w:unhideWhenUsed/>
    <w:rsid w:val="00E57665"/>
    <w:pPr>
      <w:spacing w:after="0" w:line="276" w:lineRule="auto"/>
      <w:jc w:val="left"/>
    </w:pPr>
    <w:rPr>
      <w:rFonts w:asciiTheme="minorHAnsi" w:eastAsiaTheme="minorHAnsi" w:hAnsiTheme="minorHAnsi" w:cstheme="minorBidi"/>
      <w:sz w:val="22"/>
    </w:rPr>
  </w:style>
  <w:style w:type="character" w:customStyle="1" w:styleId="UnresolvedMention10">
    <w:name w:val="Unresolved Mention1"/>
    <w:basedOn w:val="DefaultParagraphFont"/>
    <w:uiPriority w:val="99"/>
    <w:semiHidden/>
    <w:unhideWhenUsed/>
    <w:rsid w:val="00E57665"/>
    <w:rPr>
      <w:color w:val="605E5C"/>
      <w:shd w:val="clear" w:color="auto" w:fill="E1DFDD"/>
    </w:rPr>
  </w:style>
  <w:style w:type="paragraph" w:customStyle="1" w:styleId="rtejustify">
    <w:name w:val="rtejustify"/>
    <w:basedOn w:val="Normal"/>
    <w:rsid w:val="00E57665"/>
    <w:pPr>
      <w:spacing w:before="100" w:beforeAutospacing="1" w:after="100" w:afterAutospacing="1" w:line="240" w:lineRule="auto"/>
      <w:jc w:val="left"/>
    </w:pPr>
    <w:rPr>
      <w:rFonts w:eastAsia="Times New Roman" w:cs="Times New Roman"/>
      <w:szCs w:val="24"/>
    </w:rPr>
  </w:style>
  <w:style w:type="paragraph" w:customStyle="1" w:styleId="paragraph">
    <w:name w:val="paragraph"/>
    <w:basedOn w:val="Normal"/>
    <w:qFormat/>
    <w:rsid w:val="00E57665"/>
    <w:pPr>
      <w:spacing w:after="0"/>
      <w:ind w:firstLine="567"/>
    </w:pPr>
    <w:rPr>
      <w:rFonts w:eastAsiaTheme="minorEastAsia" w:cs="Times New Roman"/>
      <w:szCs w:val="24"/>
      <w:lang w:val="id-ID"/>
    </w:rPr>
  </w:style>
  <w:style w:type="paragraph" w:customStyle="1" w:styleId="numberingg">
    <w:name w:val="numberingg"/>
    <w:basedOn w:val="ListParagraph"/>
    <w:qFormat/>
    <w:rsid w:val="00E57665"/>
    <w:pPr>
      <w:numPr>
        <w:numId w:val="2"/>
      </w:numPr>
      <w:spacing w:after="0"/>
    </w:pPr>
    <w:rPr>
      <w:rFonts w:eastAsiaTheme="minorEastAsia" w:cs="Times New Roman"/>
      <w:szCs w:val="24"/>
    </w:rPr>
  </w:style>
  <w:style w:type="paragraph" w:customStyle="1" w:styleId="SkripsiStyle">
    <w:name w:val="Skripsi Style"/>
    <w:basedOn w:val="Normal"/>
    <w:link w:val="SkripsiStyleChar"/>
    <w:autoRedefine/>
    <w:qFormat/>
    <w:rsid w:val="00E57665"/>
    <w:pPr>
      <w:spacing w:after="315"/>
    </w:pPr>
    <w:rPr>
      <w:rFonts w:eastAsia="Times New Roman" w:cs="Times New Roman"/>
      <w:color w:val="000000" w:themeColor="text1"/>
      <w:szCs w:val="24"/>
      <w:lang w:val="en-ID" w:eastAsia="en-ID"/>
    </w:rPr>
  </w:style>
  <w:style w:type="character" w:customStyle="1" w:styleId="SkripsiStyleChar">
    <w:name w:val="Skripsi Style Char"/>
    <w:basedOn w:val="DefaultParagraphFont"/>
    <w:link w:val="SkripsiStyle"/>
    <w:rsid w:val="00E57665"/>
    <w:rPr>
      <w:rFonts w:ascii="Times New Roman" w:eastAsia="Times New Roman" w:hAnsi="Times New Roman" w:cs="Times New Roman"/>
      <w:color w:val="000000" w:themeColor="text1"/>
      <w:sz w:val="24"/>
      <w:szCs w:val="24"/>
      <w:lang w:val="en-ID" w:eastAsia="en-ID"/>
    </w:rPr>
  </w:style>
  <w:style w:type="paragraph" w:customStyle="1" w:styleId="Tabel">
    <w:name w:val="Tabel"/>
    <w:aliases w:val="Grafik,Gambar"/>
    <w:basedOn w:val="SkripsiStyle"/>
    <w:link w:val="TabelChar"/>
    <w:rsid w:val="00E57665"/>
    <w:pPr>
      <w:spacing w:line="240" w:lineRule="auto"/>
      <w:jc w:val="center"/>
    </w:pPr>
    <w:rPr>
      <w:b/>
    </w:rPr>
  </w:style>
  <w:style w:type="character" w:customStyle="1" w:styleId="TabelChar">
    <w:name w:val="Tabel Char"/>
    <w:aliases w:val="Grafik Char,Gambar Char"/>
    <w:basedOn w:val="SkripsiStyleChar"/>
    <w:link w:val="Tabel"/>
    <w:rsid w:val="00E57665"/>
    <w:rPr>
      <w:rFonts w:ascii="Times New Roman" w:eastAsia="Times New Roman" w:hAnsi="Times New Roman" w:cs="Times New Roman"/>
      <w:b/>
      <w:color w:val="000000" w:themeColor="text1"/>
      <w:sz w:val="24"/>
      <w:szCs w:val="24"/>
      <w:lang w:val="en-ID" w:eastAsia="en-ID"/>
    </w:rPr>
  </w:style>
  <w:style w:type="paragraph" w:customStyle="1" w:styleId="msonormal0">
    <w:name w:val="msonormal"/>
    <w:basedOn w:val="Normal"/>
    <w:rsid w:val="00E57665"/>
    <w:pPr>
      <w:spacing w:before="100" w:beforeAutospacing="1" w:after="100" w:afterAutospacing="1" w:line="240" w:lineRule="auto"/>
      <w:jc w:val="left"/>
    </w:pPr>
    <w:rPr>
      <w:rFonts w:eastAsia="Times New Roman" w:cs="Times New Roman"/>
      <w:szCs w:val="24"/>
      <w:lang w:val="en-ID" w:eastAsia="ja-JP"/>
    </w:rPr>
  </w:style>
  <w:style w:type="paragraph" w:customStyle="1" w:styleId="xl63">
    <w:name w:val="xl63"/>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ID" w:eastAsia="ja-JP"/>
    </w:rPr>
  </w:style>
  <w:style w:type="paragraph" w:customStyle="1" w:styleId="xl64">
    <w:name w:val="xl64"/>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Cs w:val="24"/>
      <w:lang w:val="en-ID" w:eastAsia="ja-JP"/>
    </w:rPr>
  </w:style>
  <w:style w:type="paragraph" w:styleId="TOC4">
    <w:name w:val="toc 4"/>
    <w:basedOn w:val="Normal"/>
    <w:next w:val="Normal"/>
    <w:autoRedefine/>
    <w:uiPriority w:val="39"/>
    <w:unhideWhenUsed/>
    <w:rsid w:val="00E57665"/>
    <w:pPr>
      <w:spacing w:after="100" w:line="259" w:lineRule="auto"/>
      <w:ind w:left="660"/>
      <w:jc w:val="left"/>
    </w:pPr>
    <w:rPr>
      <w:rFonts w:asciiTheme="minorHAnsi" w:eastAsiaTheme="minorEastAsia" w:hAnsiTheme="minorHAnsi" w:cstheme="minorBidi"/>
      <w:sz w:val="22"/>
      <w:lang w:val="en-ID" w:eastAsia="en-ID"/>
    </w:rPr>
  </w:style>
  <w:style w:type="paragraph" w:styleId="TOC5">
    <w:name w:val="toc 5"/>
    <w:basedOn w:val="Normal"/>
    <w:next w:val="Normal"/>
    <w:autoRedefine/>
    <w:uiPriority w:val="39"/>
    <w:unhideWhenUsed/>
    <w:rsid w:val="00E57665"/>
    <w:pPr>
      <w:spacing w:after="100" w:line="259" w:lineRule="auto"/>
      <w:ind w:left="880"/>
      <w:jc w:val="left"/>
    </w:pPr>
    <w:rPr>
      <w:rFonts w:asciiTheme="minorHAnsi" w:eastAsiaTheme="minorEastAsia" w:hAnsiTheme="minorHAnsi" w:cstheme="minorBidi"/>
      <w:sz w:val="22"/>
      <w:lang w:val="en-ID" w:eastAsia="en-ID"/>
    </w:rPr>
  </w:style>
  <w:style w:type="paragraph" w:styleId="TOC6">
    <w:name w:val="toc 6"/>
    <w:basedOn w:val="Normal"/>
    <w:next w:val="Normal"/>
    <w:autoRedefine/>
    <w:uiPriority w:val="39"/>
    <w:unhideWhenUsed/>
    <w:rsid w:val="00E57665"/>
    <w:pPr>
      <w:spacing w:after="100" w:line="259" w:lineRule="auto"/>
      <w:ind w:left="1100"/>
      <w:jc w:val="left"/>
    </w:pPr>
    <w:rPr>
      <w:rFonts w:asciiTheme="minorHAnsi" w:eastAsiaTheme="minorEastAsia" w:hAnsiTheme="minorHAnsi" w:cstheme="minorBidi"/>
      <w:sz w:val="22"/>
      <w:lang w:val="en-ID" w:eastAsia="en-ID"/>
    </w:rPr>
  </w:style>
  <w:style w:type="paragraph" w:styleId="TOC7">
    <w:name w:val="toc 7"/>
    <w:basedOn w:val="Normal"/>
    <w:next w:val="Normal"/>
    <w:autoRedefine/>
    <w:uiPriority w:val="39"/>
    <w:unhideWhenUsed/>
    <w:rsid w:val="00E57665"/>
    <w:pPr>
      <w:spacing w:after="100" w:line="259" w:lineRule="auto"/>
      <w:ind w:left="1320"/>
      <w:jc w:val="left"/>
    </w:pPr>
    <w:rPr>
      <w:rFonts w:asciiTheme="minorHAnsi" w:eastAsiaTheme="minorEastAsia" w:hAnsiTheme="minorHAnsi" w:cstheme="minorBidi"/>
      <w:sz w:val="22"/>
      <w:lang w:val="en-ID" w:eastAsia="en-ID"/>
    </w:rPr>
  </w:style>
  <w:style w:type="paragraph" w:styleId="TOC8">
    <w:name w:val="toc 8"/>
    <w:basedOn w:val="Normal"/>
    <w:next w:val="Normal"/>
    <w:autoRedefine/>
    <w:uiPriority w:val="39"/>
    <w:unhideWhenUsed/>
    <w:rsid w:val="00E57665"/>
    <w:pPr>
      <w:spacing w:after="100" w:line="259" w:lineRule="auto"/>
      <w:ind w:left="1540"/>
      <w:jc w:val="left"/>
    </w:pPr>
    <w:rPr>
      <w:rFonts w:asciiTheme="minorHAnsi" w:eastAsiaTheme="minorEastAsia" w:hAnsiTheme="minorHAnsi" w:cstheme="minorBidi"/>
      <w:sz w:val="22"/>
      <w:lang w:val="en-ID" w:eastAsia="en-ID"/>
    </w:rPr>
  </w:style>
  <w:style w:type="paragraph" w:styleId="TOC9">
    <w:name w:val="toc 9"/>
    <w:basedOn w:val="Normal"/>
    <w:next w:val="Normal"/>
    <w:autoRedefine/>
    <w:uiPriority w:val="39"/>
    <w:unhideWhenUsed/>
    <w:rsid w:val="00E57665"/>
    <w:pPr>
      <w:spacing w:after="100" w:line="259" w:lineRule="auto"/>
      <w:ind w:left="1760"/>
      <w:jc w:val="left"/>
    </w:pPr>
    <w:rPr>
      <w:rFonts w:asciiTheme="minorHAnsi" w:eastAsiaTheme="minorEastAsia" w:hAnsiTheme="minorHAnsi" w:cstheme="minorBidi"/>
      <w:sz w:val="22"/>
      <w:lang w:val="en-ID" w:eastAsia="en-ID"/>
    </w:rPr>
  </w:style>
  <w:style w:type="character" w:customStyle="1" w:styleId="pkpscreenreader">
    <w:name w:val="pkp_screen_reader"/>
    <w:basedOn w:val="DefaultParagraphFont"/>
    <w:rsid w:val="00B95309"/>
  </w:style>
  <w:style w:type="table" w:customStyle="1" w:styleId="PlainTable21">
    <w:name w:val="Plain Table 21"/>
    <w:basedOn w:val="TableNormal"/>
    <w:uiPriority w:val="42"/>
    <w:rsid w:val="00E12411"/>
    <w:pPr>
      <w:spacing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EM22aBODYARTIKEL">
    <w:name w:val="JEM_2.2a BODY ARTIKEL"/>
    <w:basedOn w:val="Normal"/>
    <w:qFormat/>
    <w:rsid w:val="00682D55"/>
    <w:pPr>
      <w:spacing w:after="0" w:line="240" w:lineRule="auto"/>
    </w:pPr>
    <w:rPr>
      <w:rFonts w:eastAsia="Times New Roman"/>
      <w:szCs w:val="24"/>
      <w:lang w:val="en-GB"/>
    </w:rPr>
  </w:style>
  <w:style w:type="character" w:customStyle="1" w:styleId="citationauthor">
    <w:name w:val="citation_author"/>
    <w:basedOn w:val="DefaultParagraphFont"/>
    <w:rsid w:val="0064491E"/>
  </w:style>
  <w:style w:type="table" w:styleId="LightGrid-Accent5">
    <w:name w:val="Light Grid Accent 5"/>
    <w:basedOn w:val="TableNormal"/>
    <w:uiPriority w:val="62"/>
    <w:rsid w:val="0064491E"/>
    <w:pPr>
      <w:spacing w:line="240" w:lineRule="auto"/>
      <w:jc w:val="left"/>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ubhead1">
    <w:name w:val="Subhead 1"/>
    <w:basedOn w:val="Normal"/>
    <w:rsid w:val="0064491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b/>
      <w:bCs/>
      <w:caps/>
      <w:color w:val="000000"/>
      <w:szCs w:val="24"/>
    </w:rPr>
  </w:style>
  <w:style w:type="character" w:customStyle="1" w:styleId="link">
    <w:name w:val="link"/>
    <w:basedOn w:val="DefaultParagraphFont"/>
    <w:rsid w:val="0064491E"/>
  </w:style>
  <w:style w:type="table" w:customStyle="1" w:styleId="PlainTable22">
    <w:name w:val="Plain Table 22"/>
    <w:basedOn w:val="TableNormal"/>
    <w:uiPriority w:val="42"/>
    <w:rsid w:val="00FF15D8"/>
    <w:pPr>
      <w:spacing w:line="240" w:lineRule="auto"/>
      <w:jc w:val="left"/>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bab1">
    <w:name w:val="Sub bab 1"/>
    <w:basedOn w:val="ListParagraph"/>
    <w:link w:val="Subbab1Char"/>
    <w:qFormat/>
    <w:rsid w:val="00FF15D8"/>
    <w:pPr>
      <w:spacing w:after="0" w:line="360" w:lineRule="auto"/>
      <w:ind w:left="0"/>
    </w:pPr>
    <w:rPr>
      <w:rFonts w:ascii="Times New Arabic" w:eastAsiaTheme="minorEastAsia" w:hAnsi="Times New Arabic" w:cs="Traditional Arabic"/>
      <w:bCs/>
      <w:szCs w:val="24"/>
    </w:rPr>
  </w:style>
  <w:style w:type="character" w:customStyle="1" w:styleId="Subbab1Char">
    <w:name w:val="Sub bab 1 Char"/>
    <w:basedOn w:val="DefaultParagraphFont"/>
    <w:link w:val="Subbab1"/>
    <w:rsid w:val="00FF15D8"/>
    <w:rPr>
      <w:rFonts w:ascii="Times New Arabic" w:eastAsiaTheme="minorEastAsia" w:hAnsi="Times New Arabic" w:cs="Traditional Arabic"/>
      <w:bCs/>
      <w:sz w:val="24"/>
      <w:szCs w:val="24"/>
    </w:rPr>
  </w:style>
  <w:style w:type="character" w:customStyle="1" w:styleId="fontstyle01">
    <w:name w:val="fontstyle01"/>
    <w:basedOn w:val="DefaultParagraphFont"/>
    <w:rsid w:val="000A472D"/>
    <w:rPr>
      <w:rFonts w:ascii="TimesNewRomanPSMT" w:hAnsi="TimesNewRomanPSMT" w:hint="default"/>
      <w:b w:val="0"/>
      <w:bCs w:val="0"/>
      <w:i w:val="0"/>
      <w:iCs w:val="0"/>
      <w:color w:val="000000"/>
      <w:sz w:val="20"/>
      <w:szCs w:val="20"/>
    </w:rPr>
  </w:style>
  <w:style w:type="character" w:customStyle="1" w:styleId="value">
    <w:name w:val="value"/>
    <w:basedOn w:val="DefaultParagraphFont"/>
    <w:rsid w:val="006A0EAB"/>
  </w:style>
  <w:style w:type="paragraph" w:customStyle="1" w:styleId="EkomabisJudul2">
    <w:name w:val="Ekomabis: Judul 2"/>
    <w:basedOn w:val="Normal"/>
    <w:qFormat/>
    <w:rsid w:val="005648A1"/>
    <w:pPr>
      <w:pBdr>
        <w:top w:val="thinThickSmallGap" w:sz="24" w:space="5" w:color="auto"/>
        <w:bottom w:val="single" w:sz="12" w:space="5" w:color="auto"/>
      </w:pBdr>
      <w:spacing w:after="120" w:line="240" w:lineRule="auto"/>
      <w:jc w:val="center"/>
    </w:pPr>
    <w:rPr>
      <w:rFonts w:ascii="Book Antiqua" w:eastAsiaTheme="minorHAnsi" w:hAnsi="Book Antiqua" w:cstheme="minorBidi"/>
      <w:b/>
      <w:i/>
      <w:sz w:val="28"/>
      <w:lang w:val="en-ID"/>
    </w:rPr>
  </w:style>
  <w:style w:type="paragraph" w:customStyle="1" w:styleId="EkomabisAbstrak-Isi">
    <w:name w:val="Ekomabis: Abstrak-Isi"/>
    <w:basedOn w:val="Normal"/>
    <w:qFormat/>
    <w:rsid w:val="00060E95"/>
    <w:pPr>
      <w:spacing w:after="0" w:line="240" w:lineRule="auto"/>
      <w:ind w:left="567" w:right="567"/>
    </w:pPr>
    <w:rPr>
      <w:rFonts w:ascii="Book Antiqua" w:eastAsiaTheme="minorHAnsi" w:hAnsi="Book Antiqua" w:cstheme="minorBidi"/>
      <w:i/>
      <w:sz w:val="20"/>
    </w:rPr>
  </w:style>
  <w:style w:type="paragraph" w:customStyle="1" w:styleId="EkomabisJudulGambarTabel">
    <w:name w:val="Ekomabis: Judul Gambar/Tabel"/>
    <w:basedOn w:val="Normal"/>
    <w:qFormat/>
    <w:rsid w:val="00060E95"/>
    <w:pPr>
      <w:spacing w:before="120" w:after="120" w:line="240" w:lineRule="auto"/>
      <w:jc w:val="center"/>
    </w:pPr>
    <w:rPr>
      <w:rFonts w:ascii="Book Antiqua" w:eastAsiaTheme="minorHAnsi" w:hAnsi="Book Antiqua" w:cstheme="minorBidi"/>
      <w:sz w:val="22"/>
    </w:rPr>
  </w:style>
  <w:style w:type="paragraph" w:customStyle="1" w:styleId="EkomabisJudulSub">
    <w:name w:val="Ekomabis: Judul Sub"/>
    <w:basedOn w:val="Normal"/>
    <w:qFormat/>
    <w:rsid w:val="003C4596"/>
    <w:pPr>
      <w:numPr>
        <w:numId w:val="3"/>
      </w:numPr>
      <w:spacing w:before="480" w:after="0" w:line="240" w:lineRule="auto"/>
      <w:ind w:left="425" w:hanging="425"/>
    </w:pPr>
    <w:rPr>
      <w:rFonts w:ascii="Book Antiqua" w:eastAsiaTheme="minorHAnsi" w:hAnsi="Book Antiqua" w:cstheme="minorBidi"/>
      <w:b/>
      <w:sz w:val="28"/>
    </w:rPr>
  </w:style>
  <w:style w:type="paragraph" w:customStyle="1" w:styleId="EkomabisBodytext">
    <w:name w:val="Ekomabis: Bodytext"/>
    <w:basedOn w:val="Normal"/>
    <w:qFormat/>
    <w:rsid w:val="003C4596"/>
    <w:pPr>
      <w:spacing w:before="120" w:after="120" w:line="240" w:lineRule="auto"/>
    </w:pPr>
    <w:rPr>
      <w:rFonts w:ascii="Book Antiqua" w:eastAsiaTheme="minorHAnsi" w:hAnsi="Book Antiqua" w:cstheme="minorBidi"/>
      <w:sz w:val="22"/>
    </w:rPr>
  </w:style>
  <w:style w:type="paragraph" w:customStyle="1" w:styleId="EkomabisJudulSubSub">
    <w:name w:val="Ekomabis: Judul Sub Sub"/>
    <w:basedOn w:val="Normal"/>
    <w:qFormat/>
    <w:rsid w:val="003C4596"/>
    <w:pPr>
      <w:spacing w:before="240" w:after="0" w:line="240" w:lineRule="auto"/>
    </w:pPr>
    <w:rPr>
      <w:rFonts w:ascii="Book Antiqua" w:eastAsiaTheme="minorHAnsi" w:hAnsi="Book Antiqua" w:cstheme="minorBidi"/>
      <w:b/>
      <w:i/>
      <w:sz w:val="22"/>
    </w:rPr>
  </w:style>
  <w:style w:type="character" w:customStyle="1" w:styleId="fontstyle21">
    <w:name w:val="fontstyle21"/>
    <w:basedOn w:val="DefaultParagraphFont"/>
    <w:rsid w:val="003C4596"/>
    <w:rPr>
      <w:rFonts w:ascii="AdvTT5843c571+20" w:hAnsi="AdvTT5843c571+20" w:hint="default"/>
      <w:b w:val="0"/>
      <w:bCs w:val="0"/>
      <w:i w:val="0"/>
      <w:iCs w:val="0"/>
      <w:color w:val="000000"/>
      <w:sz w:val="20"/>
      <w:szCs w:val="20"/>
    </w:rPr>
  </w:style>
  <w:style w:type="character" w:customStyle="1" w:styleId="fontstyle31">
    <w:name w:val="fontstyle31"/>
    <w:basedOn w:val="DefaultParagraphFont"/>
    <w:rsid w:val="003C4596"/>
    <w:rPr>
      <w:rFonts w:ascii="AdvTT5843c571+fb" w:hAnsi="AdvTT5843c571+fb" w:hint="default"/>
      <w:b w:val="0"/>
      <w:bCs w:val="0"/>
      <w:i w:val="0"/>
      <w:iCs w:val="0"/>
      <w:color w:val="000000"/>
      <w:sz w:val="20"/>
      <w:szCs w:val="20"/>
    </w:rPr>
  </w:style>
  <w:style w:type="paragraph" w:customStyle="1" w:styleId="EkomabisJudulSub2">
    <w:name w:val="Ekomabis: Judul Sub 2"/>
    <w:basedOn w:val="EkomabisBodytext"/>
    <w:qFormat/>
    <w:rsid w:val="003C4596"/>
    <w:pPr>
      <w:numPr>
        <w:numId w:val="4"/>
      </w:numPr>
      <w:spacing w:before="240" w:after="0"/>
      <w:ind w:left="567" w:hanging="567"/>
    </w:pPr>
    <w:rPr>
      <w:b/>
      <w:sz w:val="24"/>
    </w:rPr>
  </w:style>
  <w:style w:type="paragraph" w:customStyle="1" w:styleId="EkomabisJudulSub3">
    <w:name w:val="Ekomabis: Judul Sub 3"/>
    <w:basedOn w:val="Normal"/>
    <w:qFormat/>
    <w:rsid w:val="00244612"/>
    <w:pPr>
      <w:numPr>
        <w:numId w:val="5"/>
      </w:numPr>
      <w:spacing w:before="240" w:after="0" w:line="240" w:lineRule="auto"/>
      <w:ind w:left="567" w:hanging="567"/>
    </w:pPr>
    <w:rPr>
      <w:rFonts w:ascii="Book Antiqua" w:eastAsiaTheme="minorHAnsi" w:hAnsi="Book Antiqua" w:cstheme="minorBidi"/>
      <w:b/>
    </w:rPr>
  </w:style>
  <w:style w:type="paragraph" w:customStyle="1" w:styleId="EkomabisJudulSub4">
    <w:name w:val="Ekomabis: Judul Sub 4"/>
    <w:basedOn w:val="EkomabisBodytext"/>
    <w:qFormat/>
    <w:rsid w:val="00244612"/>
    <w:pPr>
      <w:numPr>
        <w:numId w:val="6"/>
      </w:numPr>
      <w:spacing w:before="240"/>
      <w:ind w:left="567" w:hanging="567"/>
    </w:pPr>
    <w:rPr>
      <w:b/>
    </w:rPr>
  </w:style>
  <w:style w:type="paragraph" w:customStyle="1" w:styleId="EkomabisSumber">
    <w:name w:val="Ekomabis: Sumber"/>
    <w:basedOn w:val="Normal"/>
    <w:qFormat/>
    <w:rsid w:val="00244612"/>
    <w:pPr>
      <w:spacing w:after="120" w:line="240" w:lineRule="auto"/>
      <w:jc w:val="left"/>
    </w:pPr>
    <w:rPr>
      <w:rFonts w:ascii="Book Antiqua" w:eastAsiaTheme="minorHAnsi" w:hAnsi="Book Antiqua" w:cstheme="minorBidi"/>
      <w:i/>
      <w:sz w:val="22"/>
    </w:rPr>
  </w:style>
  <w:style w:type="paragraph" w:styleId="BodyTextIndent3">
    <w:name w:val="Body Text Indent 3"/>
    <w:basedOn w:val="Normal"/>
    <w:link w:val="BodyTextIndent3Char"/>
    <w:rsid w:val="001C4293"/>
    <w:pPr>
      <w:spacing w:after="0"/>
      <w:ind w:left="360" w:firstLine="575"/>
    </w:pPr>
    <w:rPr>
      <w:rFonts w:ascii="Tahoma" w:eastAsia="Times New Roman" w:hAnsi="Tahoma" w:cs="Tahoma"/>
      <w:bCs/>
      <w:szCs w:val="24"/>
    </w:rPr>
  </w:style>
  <w:style w:type="character" w:customStyle="1" w:styleId="BodyTextIndent3Char">
    <w:name w:val="Body Text Indent 3 Char"/>
    <w:basedOn w:val="DefaultParagraphFont"/>
    <w:link w:val="BodyTextIndent3"/>
    <w:rsid w:val="001C4293"/>
    <w:rPr>
      <w:rFonts w:ascii="Tahoma" w:eastAsia="Times New Roman" w:hAnsi="Tahoma" w:cs="Tahoma"/>
      <w:bCs/>
      <w:sz w:val="24"/>
      <w:szCs w:val="24"/>
    </w:rPr>
  </w:style>
  <w:style w:type="character" w:customStyle="1" w:styleId="u-visually-hidden">
    <w:name w:val="u-visually-hidden"/>
    <w:basedOn w:val="DefaultParagraphFont"/>
    <w:rsid w:val="00CD3584"/>
  </w:style>
  <w:style w:type="character" w:customStyle="1" w:styleId="name">
    <w:name w:val="name"/>
    <w:basedOn w:val="DefaultParagraphFont"/>
    <w:rsid w:val="007F37BB"/>
  </w:style>
  <w:style w:type="character" w:customStyle="1" w:styleId="affiliation">
    <w:name w:val="affiliation"/>
    <w:basedOn w:val="DefaultParagraphFont"/>
    <w:rsid w:val="007F37BB"/>
  </w:style>
  <w:style w:type="paragraph" w:styleId="Title">
    <w:name w:val="Title"/>
    <w:basedOn w:val="Normal"/>
    <w:next w:val="Normal"/>
    <w:link w:val="TitleChar"/>
    <w:uiPriority w:val="10"/>
    <w:qFormat/>
    <w:rsid w:val="0021475D"/>
    <w:pPr>
      <w:keepNext/>
      <w:keepLines/>
      <w:spacing w:before="480" w:after="120" w:line="240" w:lineRule="auto"/>
      <w:jc w:val="left"/>
    </w:pPr>
    <w:rPr>
      <w:rFonts w:eastAsia="Times New Roman" w:cs="Times New Roman"/>
      <w:b/>
      <w:sz w:val="72"/>
      <w:szCs w:val="72"/>
      <w:lang w:eastAsia="en-ID"/>
    </w:rPr>
  </w:style>
  <w:style w:type="character" w:customStyle="1" w:styleId="TitleChar">
    <w:name w:val="Title Char"/>
    <w:basedOn w:val="DefaultParagraphFont"/>
    <w:link w:val="Title"/>
    <w:rsid w:val="0021475D"/>
    <w:rPr>
      <w:rFonts w:ascii="Times New Roman" w:eastAsia="Times New Roman" w:hAnsi="Times New Roman" w:cs="Times New Roman"/>
      <w:b/>
      <w:sz w:val="72"/>
      <w:szCs w:val="72"/>
      <w:lang w:eastAsia="en-ID"/>
    </w:rPr>
  </w:style>
  <w:style w:type="character" w:customStyle="1" w:styleId="hps">
    <w:name w:val="hps"/>
    <w:basedOn w:val="DefaultParagraphFont"/>
    <w:rsid w:val="00F122BD"/>
  </w:style>
  <w:style w:type="paragraph" w:styleId="BodyText">
    <w:name w:val="Body Text"/>
    <w:basedOn w:val="Normal"/>
    <w:link w:val="BodyTextChar"/>
    <w:unhideWhenUsed/>
    <w:qFormat/>
    <w:rsid w:val="00B97391"/>
    <w:pPr>
      <w:spacing w:after="120"/>
    </w:pPr>
  </w:style>
  <w:style w:type="character" w:customStyle="1" w:styleId="BodyTextChar">
    <w:name w:val="Body Text Char"/>
    <w:basedOn w:val="DefaultParagraphFont"/>
    <w:link w:val="BodyText"/>
    <w:uiPriority w:val="1"/>
    <w:rsid w:val="00B97391"/>
    <w:rPr>
      <w:rFonts w:ascii="Times New Roman" w:eastAsia="Calibri" w:hAnsi="Times New Roman" w:cs="Arial"/>
      <w:sz w:val="24"/>
    </w:rPr>
  </w:style>
  <w:style w:type="paragraph" w:customStyle="1" w:styleId="TableParagraph">
    <w:name w:val="Table Paragraph"/>
    <w:basedOn w:val="Normal"/>
    <w:uiPriority w:val="1"/>
    <w:qFormat/>
    <w:rsid w:val="00E138E1"/>
    <w:pPr>
      <w:widowControl w:val="0"/>
      <w:autoSpaceDE w:val="0"/>
      <w:autoSpaceDN w:val="0"/>
      <w:spacing w:after="0" w:line="240" w:lineRule="auto"/>
      <w:jc w:val="left"/>
    </w:pPr>
    <w:rPr>
      <w:rFonts w:eastAsia="Times New Roman" w:cs="Times New Roman"/>
      <w:sz w:val="22"/>
    </w:rPr>
  </w:style>
  <w:style w:type="character" w:customStyle="1" w:styleId="UnresolvedMention2">
    <w:name w:val="Unresolved Mention2"/>
    <w:uiPriority w:val="99"/>
    <w:semiHidden/>
    <w:unhideWhenUsed/>
    <w:rsid w:val="00E138E1"/>
    <w:rPr>
      <w:color w:val="605E5C"/>
      <w:shd w:val="clear" w:color="auto" w:fill="E1DFDD"/>
    </w:rPr>
  </w:style>
  <w:style w:type="table" w:customStyle="1" w:styleId="PlainTable23">
    <w:name w:val="Plain Table 23"/>
    <w:basedOn w:val="TableNormal"/>
    <w:uiPriority w:val="42"/>
    <w:rsid w:val="00E138E1"/>
    <w:pPr>
      <w:spacing w:line="240" w:lineRule="auto"/>
      <w:jc w:val="left"/>
    </w:pPr>
    <w:rPr>
      <w:rFonts w:ascii="Times" w:eastAsia="Times New Roman" w:hAnsi="Times" w:cs="Times New Roman"/>
      <w:sz w:val="20"/>
      <w:szCs w:val="20"/>
      <w:lang w:val="id-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DefaultParagraphFont"/>
    <w:rsid w:val="0046779F"/>
  </w:style>
  <w:style w:type="paragraph" w:customStyle="1" w:styleId="PageNumber1">
    <w:name w:val="Page Number1"/>
    <w:basedOn w:val="Normal"/>
    <w:qFormat/>
    <w:rsid w:val="00A35E9E"/>
    <w:pPr>
      <w:suppressAutoHyphens/>
      <w:spacing w:after="0" w:line="240" w:lineRule="auto"/>
      <w:jc w:val="center"/>
    </w:pPr>
    <w:rPr>
      <w:rFonts w:ascii="Times" w:eastAsia="Times New Roman" w:hAnsi="Times" w:cs="Times New Roman"/>
      <w:szCs w:val="20"/>
      <w:lang w:eastAsia="ar-SA"/>
    </w:rPr>
  </w:style>
  <w:style w:type="paragraph" w:customStyle="1" w:styleId="BAB2">
    <w:name w:val="BAB 2"/>
    <w:basedOn w:val="Heading3"/>
    <w:qFormat/>
    <w:rsid w:val="00C4524F"/>
    <w:pPr>
      <w:keepLines w:val="0"/>
      <w:numPr>
        <w:numId w:val="7"/>
      </w:numPr>
      <w:spacing w:before="240" w:line="480" w:lineRule="auto"/>
      <w:ind w:left="426" w:hanging="426"/>
      <w:jc w:val="both"/>
    </w:pPr>
    <w:rPr>
      <w:rFonts w:ascii="Times New Roman" w:eastAsia="SimSun" w:hAnsi="Times New Roman" w:cs="Times New Roman"/>
      <w:color w:val="000000"/>
      <w:sz w:val="24"/>
      <w:szCs w:val="24"/>
      <w:lang w:eastAsia="zh-CN"/>
    </w:rPr>
  </w:style>
  <w:style w:type="paragraph" w:customStyle="1" w:styleId="Daftartable">
    <w:name w:val="Daftar table"/>
    <w:basedOn w:val="BAB2"/>
    <w:qFormat/>
    <w:rsid w:val="00C4524F"/>
    <w:pPr>
      <w:numPr>
        <w:numId w:val="0"/>
      </w:numPr>
      <w:jc w:val="center"/>
    </w:pPr>
    <w:rPr>
      <w:rFonts w:eastAsia="Times New Roman"/>
      <w:lang w:eastAsia="id-ID"/>
    </w:rPr>
  </w:style>
  <w:style w:type="paragraph" w:customStyle="1" w:styleId="BAB3">
    <w:name w:val="BAB 3"/>
    <w:basedOn w:val="ListParagraph"/>
    <w:qFormat/>
    <w:rsid w:val="00C3748A"/>
    <w:pPr>
      <w:widowControl w:val="0"/>
      <w:numPr>
        <w:numId w:val="8"/>
      </w:numPr>
      <w:tabs>
        <w:tab w:val="left" w:pos="1190"/>
      </w:tabs>
      <w:autoSpaceDE w:val="0"/>
      <w:autoSpaceDN w:val="0"/>
      <w:spacing w:before="2" w:after="0"/>
      <w:ind w:left="426" w:hanging="426"/>
    </w:pPr>
    <w:rPr>
      <w:rFonts w:eastAsia="SimSun" w:cs="Times New Roman"/>
      <w:b/>
      <w:color w:val="000000"/>
      <w:szCs w:val="24"/>
      <w:lang w:eastAsia="zh-CN"/>
    </w:rPr>
  </w:style>
  <w:style w:type="character" w:customStyle="1" w:styleId="hwtze">
    <w:name w:val="hwtze"/>
    <w:basedOn w:val="DefaultParagraphFont"/>
    <w:rsid w:val="00CF4F4C"/>
  </w:style>
  <w:style w:type="character" w:customStyle="1" w:styleId="rynqvb">
    <w:name w:val="rynqvb"/>
    <w:basedOn w:val="DefaultParagraphFont"/>
    <w:rsid w:val="00CF4F4C"/>
  </w:style>
  <w:style w:type="paragraph" w:customStyle="1" w:styleId="Body">
    <w:name w:val="Body"/>
    <w:basedOn w:val="BodyTextIndent"/>
    <w:rsid w:val="00CF4F4C"/>
    <w:pPr>
      <w:suppressAutoHyphens/>
      <w:spacing w:after="0" w:line="240" w:lineRule="auto"/>
      <w:ind w:left="0" w:firstLine="567"/>
    </w:pPr>
    <w:rPr>
      <w:rFonts w:eastAsia="Times New Roman" w:cs="Times New Roman"/>
      <w:sz w:val="20"/>
      <w:szCs w:val="20"/>
      <w:lang w:eastAsia="ar-SA"/>
    </w:rPr>
  </w:style>
  <w:style w:type="paragraph" w:styleId="BodyTextIndent">
    <w:name w:val="Body Text Indent"/>
    <w:basedOn w:val="Normal"/>
    <w:link w:val="BodyTextIndentChar"/>
    <w:uiPriority w:val="99"/>
    <w:semiHidden/>
    <w:unhideWhenUsed/>
    <w:rsid w:val="00CF4F4C"/>
    <w:pPr>
      <w:spacing w:after="120"/>
      <w:ind w:left="283"/>
    </w:pPr>
  </w:style>
  <w:style w:type="character" w:customStyle="1" w:styleId="BodyTextIndentChar">
    <w:name w:val="Body Text Indent Char"/>
    <w:basedOn w:val="DefaultParagraphFont"/>
    <w:link w:val="BodyTextIndent"/>
    <w:uiPriority w:val="99"/>
    <w:semiHidden/>
    <w:rsid w:val="00CF4F4C"/>
    <w:rPr>
      <w:rFonts w:ascii="Times New Roman" w:eastAsia="Calibri" w:hAnsi="Times New Roman" w:cs="Arial"/>
      <w:sz w:val="24"/>
    </w:rPr>
  </w:style>
  <w:style w:type="paragraph" w:styleId="BodyTextIndent2">
    <w:name w:val="Body Text Indent 2"/>
    <w:basedOn w:val="Normal"/>
    <w:link w:val="BodyTextIndent2Char"/>
    <w:uiPriority w:val="99"/>
    <w:semiHidden/>
    <w:unhideWhenUsed/>
    <w:rsid w:val="00CF4F4C"/>
    <w:pPr>
      <w:spacing w:after="120"/>
      <w:ind w:left="283"/>
      <w:jc w:val="left"/>
    </w:pPr>
    <w:rPr>
      <w:rFonts w:eastAsia="Times New Roman" w:cs="Times New Roman"/>
      <w:szCs w:val="24"/>
      <w:lang w:eastAsia="en-ID"/>
    </w:rPr>
  </w:style>
  <w:style w:type="character" w:customStyle="1" w:styleId="BodyTextIndent2Char">
    <w:name w:val="Body Text Indent 2 Char"/>
    <w:basedOn w:val="DefaultParagraphFont"/>
    <w:link w:val="BodyTextIndent2"/>
    <w:uiPriority w:val="99"/>
    <w:semiHidden/>
    <w:rsid w:val="00CF4F4C"/>
    <w:rPr>
      <w:rFonts w:ascii="Times New Roman" w:eastAsia="Times New Roman" w:hAnsi="Times New Roman" w:cs="Times New Roman"/>
      <w:sz w:val="24"/>
      <w:szCs w:val="24"/>
      <w:lang w:eastAsia="en-ID"/>
    </w:rPr>
  </w:style>
  <w:style w:type="table" w:styleId="PlainTable2">
    <w:name w:val="Plain Table 2"/>
    <w:basedOn w:val="TableNormal"/>
    <w:uiPriority w:val="42"/>
    <w:rsid w:val="00F342A1"/>
    <w:pPr>
      <w:spacing w:line="240" w:lineRule="auto"/>
      <w:jc w:val="left"/>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81803"/>
    <w:rPr>
      <w:color w:val="605E5C"/>
      <w:shd w:val="clear" w:color="auto" w:fill="E1DFDD"/>
    </w:rPr>
  </w:style>
  <w:style w:type="paragraph" w:customStyle="1" w:styleId="MadaniaIsiParagraf">
    <w:name w:val="Madania_Isi Paragraf"/>
    <w:basedOn w:val="Normal"/>
    <w:link w:val="MadaniaIsiParagrafChar"/>
    <w:qFormat/>
    <w:rsid w:val="00971D6C"/>
    <w:pPr>
      <w:spacing w:line="259" w:lineRule="auto"/>
      <w:ind w:firstLine="426"/>
    </w:pPr>
    <w:rPr>
      <w:rFonts w:ascii="Candara" w:eastAsiaTheme="minorHAnsi" w:hAnsi="Candara" w:cstheme="minorBidi"/>
      <w:sz w:val="22"/>
      <w:lang w:val="id-ID"/>
    </w:rPr>
  </w:style>
  <w:style w:type="character" w:customStyle="1" w:styleId="MadaniaIsiParagrafChar">
    <w:name w:val="Madania_Isi Paragraf Char"/>
    <w:basedOn w:val="DefaultParagraphFont"/>
    <w:link w:val="MadaniaIsiParagraf"/>
    <w:rsid w:val="00971D6C"/>
    <w:rPr>
      <w:rFonts w:ascii="Candara" w:hAnsi="Candara"/>
      <w:lang w:val="id-ID"/>
    </w:rPr>
  </w:style>
  <w:style w:type="table" w:customStyle="1" w:styleId="TableGrid1">
    <w:name w:val="Table Grid1"/>
    <w:basedOn w:val="TableNormal"/>
    <w:uiPriority w:val="39"/>
    <w:qFormat/>
    <w:rsid w:val="00971D6C"/>
    <w:pPr>
      <w:spacing w:line="240" w:lineRule="auto"/>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F50C6"/>
    <w:pPr>
      <w:spacing w:line="240" w:lineRule="auto"/>
      <w:jc w:val="left"/>
    </w:pPr>
    <w:rPr>
      <w:rFonts w:eastAsiaTheme="minorEastAsia"/>
      <w:kern w:val="2"/>
      <w:sz w:val="24"/>
      <w:szCs w:val="24"/>
      <w:lang w:val="id-ID" w:eastAsia="id-ID"/>
      <w14:ligatures w14:val="standardContextual"/>
    </w:rPr>
    <w:tblPr>
      <w:tblCellMar>
        <w:top w:w="0" w:type="dxa"/>
        <w:left w:w="0" w:type="dxa"/>
        <w:bottom w:w="0" w:type="dxa"/>
        <w:right w:w="0" w:type="dxa"/>
      </w:tblCellMar>
    </w:tblPr>
  </w:style>
  <w:style w:type="table" w:customStyle="1" w:styleId="TableNormal1">
    <w:name w:val="Table Normal1"/>
    <w:uiPriority w:val="2"/>
    <w:semiHidden/>
    <w:unhideWhenUsed/>
    <w:qFormat/>
    <w:rsid w:val="00461722"/>
    <w:pPr>
      <w:widowControl w:val="0"/>
      <w:autoSpaceDE w:val="0"/>
      <w:autoSpaceDN w:val="0"/>
      <w:spacing w:line="240" w:lineRule="auto"/>
      <w:jc w:val="left"/>
    </w:pPr>
    <w:tblPr>
      <w:tblInd w:w="0" w:type="dxa"/>
      <w:tblCellMar>
        <w:top w:w="0" w:type="dxa"/>
        <w:left w:w="0" w:type="dxa"/>
        <w:bottom w:w="0" w:type="dxa"/>
        <w:right w:w="0" w:type="dxa"/>
      </w:tblCellMar>
    </w:tblPr>
  </w:style>
  <w:style w:type="character" w:customStyle="1" w:styleId="subbab2Char">
    <w:name w:val="sub bab 2 Char"/>
    <w:link w:val="subbab2"/>
    <w:locked/>
    <w:rsid w:val="00F54804"/>
    <w:rPr>
      <w:rFonts w:ascii="Times New Roman" w:eastAsia="DengXian Light" w:hAnsi="Times New Roman" w:cs="Times New Roman"/>
      <w:b/>
      <w:color w:val="000000"/>
      <w:sz w:val="24"/>
      <w:szCs w:val="24"/>
    </w:rPr>
  </w:style>
  <w:style w:type="paragraph" w:customStyle="1" w:styleId="subbab2">
    <w:name w:val="sub bab 2"/>
    <w:basedOn w:val="Heading3"/>
    <w:link w:val="subbab2Char"/>
    <w:qFormat/>
    <w:rsid w:val="00F54804"/>
    <w:pPr>
      <w:tabs>
        <w:tab w:val="left" w:pos="851"/>
      </w:tabs>
      <w:spacing w:before="0" w:line="360" w:lineRule="auto"/>
      <w:jc w:val="center"/>
    </w:pPr>
    <w:rPr>
      <w:rFonts w:ascii="Times New Roman" w:eastAsia="DengXian Light" w:hAnsi="Times New Roman" w:cs="Times New Roman"/>
      <w:bCs w:val="0"/>
      <w:color w:val="000000"/>
      <w:sz w:val="24"/>
      <w:szCs w:val="24"/>
    </w:rPr>
  </w:style>
  <w:style w:type="paragraph" w:customStyle="1" w:styleId="BodyText0">
    <w:name w:val="BodyText"/>
    <w:basedOn w:val="Normal"/>
    <w:qFormat/>
    <w:rsid w:val="00C31A2F"/>
    <w:pPr>
      <w:spacing w:after="0"/>
      <w:ind w:firstLine="567"/>
    </w:pPr>
    <w:rPr>
      <w:rFonts w:cs="Times New Roman"/>
      <w:kern w:val="1"/>
      <w:szCs w:val="24"/>
      <w:lang w:val="id-ID" w:eastAsia="ar-SA"/>
    </w:rPr>
  </w:style>
  <w:style w:type="paragraph" w:customStyle="1" w:styleId="Heading372">
    <w:name w:val="Heading 372"/>
    <w:basedOn w:val="Heading4"/>
    <w:next w:val="BodyText"/>
    <w:qFormat/>
    <w:rsid w:val="00C31A2F"/>
    <w:pPr>
      <w:keepLines w:val="0"/>
      <w:numPr>
        <w:ilvl w:val="3"/>
      </w:numPr>
      <w:tabs>
        <w:tab w:val="left" w:pos="0"/>
      </w:tabs>
      <w:suppressAutoHyphens/>
      <w:spacing w:before="120" w:after="120" w:line="360" w:lineRule="auto"/>
      <w:ind w:left="864" w:hanging="864"/>
    </w:pPr>
    <w:rPr>
      <w:rFonts w:eastAsia="DejaVu Sans" w:cs="MS Mincho"/>
      <w:color w:val="auto"/>
      <w:kern w:val="22"/>
      <w:lang w:eastAsia="ar-SA"/>
    </w:rPr>
  </w:style>
  <w:style w:type="paragraph" w:customStyle="1" w:styleId="CM2">
    <w:name w:val="CM2"/>
    <w:basedOn w:val="Normal"/>
    <w:next w:val="Normal"/>
    <w:uiPriority w:val="99"/>
    <w:qFormat/>
    <w:rsid w:val="00975258"/>
    <w:pPr>
      <w:widowControl w:val="0"/>
      <w:autoSpaceDE w:val="0"/>
      <w:autoSpaceDN w:val="0"/>
      <w:adjustRightInd w:val="0"/>
      <w:spacing w:line="313" w:lineRule="atLeast"/>
      <w:jc w:val="left"/>
    </w:pPr>
    <w:rPr>
      <w:rFonts w:ascii="Verdana" w:eastAsia="Times New Roman" w:hAnsi="Verdana" w:cs="Times New Roman"/>
      <w:szCs w:val="24"/>
      <w:lang w:val="id-ID"/>
    </w:rPr>
  </w:style>
  <w:style w:type="paragraph" w:customStyle="1" w:styleId="DaftarParagraf1">
    <w:name w:val="Daftar Paragraf1"/>
    <w:basedOn w:val="Normal"/>
    <w:uiPriority w:val="34"/>
    <w:qFormat/>
    <w:rsid w:val="00975258"/>
    <w:pPr>
      <w:spacing w:line="259" w:lineRule="auto"/>
      <w:ind w:left="720"/>
      <w:contextualSpacing/>
      <w:jc w:val="left"/>
    </w:pPr>
    <w:rPr>
      <w:rFonts w:eastAsia="Times New Roman" w:cs="Times New Roman"/>
      <w:szCs w:val="24"/>
    </w:rPr>
  </w:style>
  <w:style w:type="character" w:customStyle="1" w:styleId="words">
    <w:name w:val="words"/>
    <w:basedOn w:val="DefaultParagraphFont"/>
    <w:rsid w:val="007F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761">
      <w:bodyDiv w:val="1"/>
      <w:marLeft w:val="0"/>
      <w:marRight w:val="0"/>
      <w:marTop w:val="0"/>
      <w:marBottom w:val="0"/>
      <w:divBdr>
        <w:top w:val="none" w:sz="0" w:space="0" w:color="auto"/>
        <w:left w:val="none" w:sz="0" w:space="0" w:color="auto"/>
        <w:bottom w:val="none" w:sz="0" w:space="0" w:color="auto"/>
        <w:right w:val="none" w:sz="0" w:space="0" w:color="auto"/>
      </w:divBdr>
    </w:div>
    <w:div w:id="19549858">
      <w:bodyDiv w:val="1"/>
      <w:marLeft w:val="0"/>
      <w:marRight w:val="0"/>
      <w:marTop w:val="0"/>
      <w:marBottom w:val="0"/>
      <w:divBdr>
        <w:top w:val="none" w:sz="0" w:space="0" w:color="auto"/>
        <w:left w:val="none" w:sz="0" w:space="0" w:color="auto"/>
        <w:bottom w:val="none" w:sz="0" w:space="0" w:color="auto"/>
        <w:right w:val="none" w:sz="0" w:space="0" w:color="auto"/>
      </w:divBdr>
    </w:div>
    <w:div w:id="154496001">
      <w:bodyDiv w:val="1"/>
      <w:marLeft w:val="0"/>
      <w:marRight w:val="0"/>
      <w:marTop w:val="0"/>
      <w:marBottom w:val="0"/>
      <w:divBdr>
        <w:top w:val="none" w:sz="0" w:space="0" w:color="auto"/>
        <w:left w:val="none" w:sz="0" w:space="0" w:color="auto"/>
        <w:bottom w:val="none" w:sz="0" w:space="0" w:color="auto"/>
        <w:right w:val="none" w:sz="0" w:space="0" w:color="auto"/>
      </w:divBdr>
      <w:divsChild>
        <w:div w:id="832069722">
          <w:marLeft w:val="0"/>
          <w:marRight w:val="0"/>
          <w:marTop w:val="0"/>
          <w:marBottom w:val="0"/>
          <w:divBdr>
            <w:top w:val="none" w:sz="0" w:space="0" w:color="auto"/>
            <w:left w:val="none" w:sz="0" w:space="0" w:color="auto"/>
            <w:bottom w:val="none" w:sz="0" w:space="0" w:color="auto"/>
            <w:right w:val="none" w:sz="0" w:space="0" w:color="auto"/>
          </w:divBdr>
          <w:divsChild>
            <w:div w:id="1238516909">
              <w:marLeft w:val="0"/>
              <w:marRight w:val="0"/>
              <w:marTop w:val="0"/>
              <w:marBottom w:val="0"/>
              <w:divBdr>
                <w:top w:val="none" w:sz="0" w:space="0" w:color="auto"/>
                <w:left w:val="none" w:sz="0" w:space="0" w:color="auto"/>
                <w:bottom w:val="none" w:sz="0" w:space="0" w:color="auto"/>
                <w:right w:val="none" w:sz="0" w:space="0" w:color="auto"/>
              </w:divBdr>
              <w:divsChild>
                <w:div w:id="741610035">
                  <w:marLeft w:val="0"/>
                  <w:marRight w:val="0"/>
                  <w:marTop w:val="0"/>
                  <w:marBottom w:val="0"/>
                  <w:divBdr>
                    <w:top w:val="none" w:sz="0" w:space="0" w:color="auto"/>
                    <w:left w:val="none" w:sz="0" w:space="0" w:color="auto"/>
                    <w:bottom w:val="none" w:sz="0" w:space="0" w:color="auto"/>
                    <w:right w:val="none" w:sz="0" w:space="0" w:color="auto"/>
                  </w:divBdr>
                  <w:divsChild>
                    <w:div w:id="11174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3448">
      <w:bodyDiv w:val="1"/>
      <w:marLeft w:val="0"/>
      <w:marRight w:val="0"/>
      <w:marTop w:val="0"/>
      <w:marBottom w:val="0"/>
      <w:divBdr>
        <w:top w:val="none" w:sz="0" w:space="0" w:color="auto"/>
        <w:left w:val="none" w:sz="0" w:space="0" w:color="auto"/>
        <w:bottom w:val="none" w:sz="0" w:space="0" w:color="auto"/>
        <w:right w:val="none" w:sz="0" w:space="0" w:color="auto"/>
      </w:divBdr>
    </w:div>
    <w:div w:id="347800147">
      <w:bodyDiv w:val="1"/>
      <w:marLeft w:val="0"/>
      <w:marRight w:val="0"/>
      <w:marTop w:val="0"/>
      <w:marBottom w:val="0"/>
      <w:divBdr>
        <w:top w:val="none" w:sz="0" w:space="0" w:color="auto"/>
        <w:left w:val="none" w:sz="0" w:space="0" w:color="auto"/>
        <w:bottom w:val="none" w:sz="0" w:space="0" w:color="auto"/>
        <w:right w:val="none" w:sz="0" w:space="0" w:color="auto"/>
      </w:divBdr>
    </w:div>
    <w:div w:id="444081958">
      <w:bodyDiv w:val="1"/>
      <w:marLeft w:val="0"/>
      <w:marRight w:val="0"/>
      <w:marTop w:val="0"/>
      <w:marBottom w:val="0"/>
      <w:divBdr>
        <w:top w:val="none" w:sz="0" w:space="0" w:color="auto"/>
        <w:left w:val="none" w:sz="0" w:space="0" w:color="auto"/>
        <w:bottom w:val="none" w:sz="0" w:space="0" w:color="auto"/>
        <w:right w:val="none" w:sz="0" w:space="0" w:color="auto"/>
      </w:divBdr>
    </w:div>
    <w:div w:id="501704624">
      <w:bodyDiv w:val="1"/>
      <w:marLeft w:val="0"/>
      <w:marRight w:val="0"/>
      <w:marTop w:val="0"/>
      <w:marBottom w:val="0"/>
      <w:divBdr>
        <w:top w:val="none" w:sz="0" w:space="0" w:color="auto"/>
        <w:left w:val="none" w:sz="0" w:space="0" w:color="auto"/>
        <w:bottom w:val="none" w:sz="0" w:space="0" w:color="auto"/>
        <w:right w:val="none" w:sz="0" w:space="0" w:color="auto"/>
      </w:divBdr>
      <w:divsChild>
        <w:div w:id="405997427">
          <w:marLeft w:val="0"/>
          <w:marRight w:val="0"/>
          <w:marTop w:val="0"/>
          <w:marBottom w:val="0"/>
          <w:divBdr>
            <w:top w:val="none" w:sz="0" w:space="0" w:color="auto"/>
            <w:left w:val="none" w:sz="0" w:space="0" w:color="auto"/>
            <w:bottom w:val="none" w:sz="0" w:space="0" w:color="auto"/>
            <w:right w:val="none" w:sz="0" w:space="0" w:color="auto"/>
          </w:divBdr>
        </w:div>
        <w:div w:id="1362511529">
          <w:marLeft w:val="0"/>
          <w:marRight w:val="0"/>
          <w:marTop w:val="0"/>
          <w:marBottom w:val="0"/>
          <w:divBdr>
            <w:top w:val="none" w:sz="0" w:space="0" w:color="auto"/>
            <w:left w:val="none" w:sz="0" w:space="0" w:color="auto"/>
            <w:bottom w:val="none" w:sz="0" w:space="0" w:color="auto"/>
            <w:right w:val="none" w:sz="0" w:space="0" w:color="auto"/>
          </w:divBdr>
        </w:div>
        <w:div w:id="1385330646">
          <w:marLeft w:val="0"/>
          <w:marRight w:val="0"/>
          <w:marTop w:val="0"/>
          <w:marBottom w:val="0"/>
          <w:divBdr>
            <w:top w:val="none" w:sz="0" w:space="0" w:color="auto"/>
            <w:left w:val="none" w:sz="0" w:space="0" w:color="auto"/>
            <w:bottom w:val="none" w:sz="0" w:space="0" w:color="auto"/>
            <w:right w:val="none" w:sz="0" w:space="0" w:color="auto"/>
          </w:divBdr>
        </w:div>
        <w:div w:id="1703282844">
          <w:marLeft w:val="0"/>
          <w:marRight w:val="0"/>
          <w:marTop w:val="0"/>
          <w:marBottom w:val="0"/>
          <w:divBdr>
            <w:top w:val="none" w:sz="0" w:space="0" w:color="auto"/>
            <w:left w:val="none" w:sz="0" w:space="0" w:color="auto"/>
            <w:bottom w:val="none" w:sz="0" w:space="0" w:color="auto"/>
            <w:right w:val="none" w:sz="0" w:space="0" w:color="auto"/>
          </w:divBdr>
        </w:div>
        <w:div w:id="1429961948">
          <w:marLeft w:val="0"/>
          <w:marRight w:val="0"/>
          <w:marTop w:val="0"/>
          <w:marBottom w:val="0"/>
          <w:divBdr>
            <w:top w:val="none" w:sz="0" w:space="0" w:color="auto"/>
            <w:left w:val="none" w:sz="0" w:space="0" w:color="auto"/>
            <w:bottom w:val="none" w:sz="0" w:space="0" w:color="auto"/>
            <w:right w:val="none" w:sz="0" w:space="0" w:color="auto"/>
          </w:divBdr>
        </w:div>
        <w:div w:id="724910380">
          <w:marLeft w:val="0"/>
          <w:marRight w:val="0"/>
          <w:marTop w:val="0"/>
          <w:marBottom w:val="0"/>
          <w:divBdr>
            <w:top w:val="none" w:sz="0" w:space="0" w:color="auto"/>
            <w:left w:val="none" w:sz="0" w:space="0" w:color="auto"/>
            <w:bottom w:val="none" w:sz="0" w:space="0" w:color="auto"/>
            <w:right w:val="none" w:sz="0" w:space="0" w:color="auto"/>
          </w:divBdr>
        </w:div>
        <w:div w:id="1141116950">
          <w:marLeft w:val="0"/>
          <w:marRight w:val="0"/>
          <w:marTop w:val="0"/>
          <w:marBottom w:val="0"/>
          <w:divBdr>
            <w:top w:val="none" w:sz="0" w:space="0" w:color="auto"/>
            <w:left w:val="none" w:sz="0" w:space="0" w:color="auto"/>
            <w:bottom w:val="none" w:sz="0" w:space="0" w:color="auto"/>
            <w:right w:val="none" w:sz="0" w:space="0" w:color="auto"/>
          </w:divBdr>
        </w:div>
      </w:divsChild>
    </w:div>
    <w:div w:id="577327353">
      <w:bodyDiv w:val="1"/>
      <w:marLeft w:val="0"/>
      <w:marRight w:val="0"/>
      <w:marTop w:val="0"/>
      <w:marBottom w:val="0"/>
      <w:divBdr>
        <w:top w:val="none" w:sz="0" w:space="0" w:color="auto"/>
        <w:left w:val="none" w:sz="0" w:space="0" w:color="auto"/>
        <w:bottom w:val="none" w:sz="0" w:space="0" w:color="auto"/>
        <w:right w:val="none" w:sz="0" w:space="0" w:color="auto"/>
      </w:divBdr>
    </w:div>
    <w:div w:id="578829791">
      <w:bodyDiv w:val="1"/>
      <w:marLeft w:val="0"/>
      <w:marRight w:val="0"/>
      <w:marTop w:val="0"/>
      <w:marBottom w:val="0"/>
      <w:divBdr>
        <w:top w:val="none" w:sz="0" w:space="0" w:color="auto"/>
        <w:left w:val="none" w:sz="0" w:space="0" w:color="auto"/>
        <w:bottom w:val="none" w:sz="0" w:space="0" w:color="auto"/>
        <w:right w:val="none" w:sz="0" w:space="0" w:color="auto"/>
      </w:divBdr>
    </w:div>
    <w:div w:id="625894348">
      <w:bodyDiv w:val="1"/>
      <w:marLeft w:val="0"/>
      <w:marRight w:val="0"/>
      <w:marTop w:val="0"/>
      <w:marBottom w:val="0"/>
      <w:divBdr>
        <w:top w:val="none" w:sz="0" w:space="0" w:color="auto"/>
        <w:left w:val="none" w:sz="0" w:space="0" w:color="auto"/>
        <w:bottom w:val="none" w:sz="0" w:space="0" w:color="auto"/>
        <w:right w:val="none" w:sz="0" w:space="0" w:color="auto"/>
      </w:divBdr>
    </w:div>
    <w:div w:id="755787090">
      <w:bodyDiv w:val="1"/>
      <w:marLeft w:val="0"/>
      <w:marRight w:val="0"/>
      <w:marTop w:val="0"/>
      <w:marBottom w:val="0"/>
      <w:divBdr>
        <w:top w:val="none" w:sz="0" w:space="0" w:color="auto"/>
        <w:left w:val="none" w:sz="0" w:space="0" w:color="auto"/>
        <w:bottom w:val="none" w:sz="0" w:space="0" w:color="auto"/>
        <w:right w:val="none" w:sz="0" w:space="0" w:color="auto"/>
      </w:divBdr>
    </w:div>
    <w:div w:id="803617650">
      <w:bodyDiv w:val="1"/>
      <w:marLeft w:val="0"/>
      <w:marRight w:val="0"/>
      <w:marTop w:val="0"/>
      <w:marBottom w:val="0"/>
      <w:divBdr>
        <w:top w:val="none" w:sz="0" w:space="0" w:color="auto"/>
        <w:left w:val="none" w:sz="0" w:space="0" w:color="auto"/>
        <w:bottom w:val="none" w:sz="0" w:space="0" w:color="auto"/>
        <w:right w:val="none" w:sz="0" w:space="0" w:color="auto"/>
      </w:divBdr>
    </w:div>
    <w:div w:id="817693721">
      <w:bodyDiv w:val="1"/>
      <w:marLeft w:val="0"/>
      <w:marRight w:val="0"/>
      <w:marTop w:val="0"/>
      <w:marBottom w:val="0"/>
      <w:divBdr>
        <w:top w:val="none" w:sz="0" w:space="0" w:color="auto"/>
        <w:left w:val="none" w:sz="0" w:space="0" w:color="auto"/>
        <w:bottom w:val="none" w:sz="0" w:space="0" w:color="auto"/>
        <w:right w:val="none" w:sz="0" w:space="0" w:color="auto"/>
      </w:divBdr>
    </w:div>
    <w:div w:id="854223157">
      <w:bodyDiv w:val="1"/>
      <w:marLeft w:val="0"/>
      <w:marRight w:val="0"/>
      <w:marTop w:val="0"/>
      <w:marBottom w:val="0"/>
      <w:divBdr>
        <w:top w:val="none" w:sz="0" w:space="0" w:color="auto"/>
        <w:left w:val="none" w:sz="0" w:space="0" w:color="auto"/>
        <w:bottom w:val="none" w:sz="0" w:space="0" w:color="auto"/>
        <w:right w:val="none" w:sz="0" w:space="0" w:color="auto"/>
      </w:divBdr>
    </w:div>
    <w:div w:id="863978514">
      <w:bodyDiv w:val="1"/>
      <w:marLeft w:val="0"/>
      <w:marRight w:val="0"/>
      <w:marTop w:val="0"/>
      <w:marBottom w:val="0"/>
      <w:divBdr>
        <w:top w:val="none" w:sz="0" w:space="0" w:color="auto"/>
        <w:left w:val="none" w:sz="0" w:space="0" w:color="auto"/>
        <w:bottom w:val="none" w:sz="0" w:space="0" w:color="auto"/>
        <w:right w:val="none" w:sz="0" w:space="0" w:color="auto"/>
      </w:divBdr>
    </w:div>
    <w:div w:id="1005085228">
      <w:bodyDiv w:val="1"/>
      <w:marLeft w:val="0"/>
      <w:marRight w:val="0"/>
      <w:marTop w:val="0"/>
      <w:marBottom w:val="0"/>
      <w:divBdr>
        <w:top w:val="none" w:sz="0" w:space="0" w:color="auto"/>
        <w:left w:val="none" w:sz="0" w:space="0" w:color="auto"/>
        <w:bottom w:val="none" w:sz="0" w:space="0" w:color="auto"/>
        <w:right w:val="none" w:sz="0" w:space="0" w:color="auto"/>
      </w:divBdr>
    </w:div>
    <w:div w:id="1015695594">
      <w:bodyDiv w:val="1"/>
      <w:marLeft w:val="0"/>
      <w:marRight w:val="0"/>
      <w:marTop w:val="0"/>
      <w:marBottom w:val="0"/>
      <w:divBdr>
        <w:top w:val="none" w:sz="0" w:space="0" w:color="auto"/>
        <w:left w:val="none" w:sz="0" w:space="0" w:color="auto"/>
        <w:bottom w:val="none" w:sz="0" w:space="0" w:color="auto"/>
        <w:right w:val="none" w:sz="0" w:space="0" w:color="auto"/>
      </w:divBdr>
    </w:div>
    <w:div w:id="1085344565">
      <w:bodyDiv w:val="1"/>
      <w:marLeft w:val="0"/>
      <w:marRight w:val="0"/>
      <w:marTop w:val="0"/>
      <w:marBottom w:val="0"/>
      <w:divBdr>
        <w:top w:val="none" w:sz="0" w:space="0" w:color="auto"/>
        <w:left w:val="none" w:sz="0" w:space="0" w:color="auto"/>
        <w:bottom w:val="none" w:sz="0" w:space="0" w:color="auto"/>
        <w:right w:val="none" w:sz="0" w:space="0" w:color="auto"/>
      </w:divBdr>
      <w:divsChild>
        <w:div w:id="1684211244">
          <w:marLeft w:val="0"/>
          <w:marRight w:val="0"/>
          <w:marTop w:val="0"/>
          <w:marBottom w:val="0"/>
          <w:divBdr>
            <w:top w:val="none" w:sz="0" w:space="0" w:color="auto"/>
            <w:left w:val="none" w:sz="0" w:space="0" w:color="auto"/>
            <w:bottom w:val="none" w:sz="0" w:space="0" w:color="auto"/>
            <w:right w:val="none" w:sz="0" w:space="0" w:color="auto"/>
          </w:divBdr>
          <w:divsChild>
            <w:div w:id="225265591">
              <w:marLeft w:val="0"/>
              <w:marRight w:val="0"/>
              <w:marTop w:val="0"/>
              <w:marBottom w:val="0"/>
              <w:divBdr>
                <w:top w:val="none" w:sz="0" w:space="0" w:color="auto"/>
                <w:left w:val="none" w:sz="0" w:space="0" w:color="auto"/>
                <w:bottom w:val="none" w:sz="0" w:space="0" w:color="auto"/>
                <w:right w:val="none" w:sz="0" w:space="0" w:color="auto"/>
              </w:divBdr>
              <w:divsChild>
                <w:div w:id="18290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59">
      <w:bodyDiv w:val="1"/>
      <w:marLeft w:val="0"/>
      <w:marRight w:val="0"/>
      <w:marTop w:val="0"/>
      <w:marBottom w:val="0"/>
      <w:divBdr>
        <w:top w:val="none" w:sz="0" w:space="0" w:color="auto"/>
        <w:left w:val="none" w:sz="0" w:space="0" w:color="auto"/>
        <w:bottom w:val="none" w:sz="0" w:space="0" w:color="auto"/>
        <w:right w:val="none" w:sz="0" w:space="0" w:color="auto"/>
      </w:divBdr>
    </w:div>
    <w:div w:id="1133593797">
      <w:bodyDiv w:val="1"/>
      <w:marLeft w:val="0"/>
      <w:marRight w:val="0"/>
      <w:marTop w:val="0"/>
      <w:marBottom w:val="0"/>
      <w:divBdr>
        <w:top w:val="none" w:sz="0" w:space="0" w:color="auto"/>
        <w:left w:val="none" w:sz="0" w:space="0" w:color="auto"/>
        <w:bottom w:val="none" w:sz="0" w:space="0" w:color="auto"/>
        <w:right w:val="none" w:sz="0" w:space="0" w:color="auto"/>
      </w:divBdr>
      <w:divsChild>
        <w:div w:id="539903333">
          <w:marLeft w:val="0"/>
          <w:marRight w:val="0"/>
          <w:marTop w:val="0"/>
          <w:marBottom w:val="0"/>
          <w:divBdr>
            <w:top w:val="none" w:sz="0" w:space="0" w:color="auto"/>
            <w:left w:val="none" w:sz="0" w:space="0" w:color="auto"/>
            <w:bottom w:val="none" w:sz="0" w:space="0" w:color="auto"/>
            <w:right w:val="none" w:sz="0" w:space="0" w:color="auto"/>
          </w:divBdr>
          <w:divsChild>
            <w:div w:id="1210607511">
              <w:marLeft w:val="0"/>
              <w:marRight w:val="0"/>
              <w:marTop w:val="0"/>
              <w:marBottom w:val="0"/>
              <w:divBdr>
                <w:top w:val="none" w:sz="0" w:space="0" w:color="auto"/>
                <w:left w:val="none" w:sz="0" w:space="0" w:color="auto"/>
                <w:bottom w:val="none" w:sz="0" w:space="0" w:color="auto"/>
                <w:right w:val="none" w:sz="0" w:space="0" w:color="auto"/>
              </w:divBdr>
              <w:divsChild>
                <w:div w:id="213661398">
                  <w:marLeft w:val="0"/>
                  <w:marRight w:val="0"/>
                  <w:marTop w:val="0"/>
                  <w:marBottom w:val="0"/>
                  <w:divBdr>
                    <w:top w:val="none" w:sz="0" w:space="0" w:color="auto"/>
                    <w:left w:val="none" w:sz="0" w:space="0" w:color="auto"/>
                    <w:bottom w:val="none" w:sz="0" w:space="0" w:color="auto"/>
                    <w:right w:val="none" w:sz="0" w:space="0" w:color="auto"/>
                  </w:divBdr>
                  <w:divsChild>
                    <w:div w:id="11120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571">
      <w:bodyDiv w:val="1"/>
      <w:marLeft w:val="0"/>
      <w:marRight w:val="0"/>
      <w:marTop w:val="0"/>
      <w:marBottom w:val="0"/>
      <w:divBdr>
        <w:top w:val="none" w:sz="0" w:space="0" w:color="auto"/>
        <w:left w:val="none" w:sz="0" w:space="0" w:color="auto"/>
        <w:bottom w:val="none" w:sz="0" w:space="0" w:color="auto"/>
        <w:right w:val="none" w:sz="0" w:space="0" w:color="auto"/>
      </w:divBdr>
    </w:div>
    <w:div w:id="1193424224">
      <w:bodyDiv w:val="1"/>
      <w:marLeft w:val="0"/>
      <w:marRight w:val="0"/>
      <w:marTop w:val="0"/>
      <w:marBottom w:val="0"/>
      <w:divBdr>
        <w:top w:val="none" w:sz="0" w:space="0" w:color="auto"/>
        <w:left w:val="none" w:sz="0" w:space="0" w:color="auto"/>
        <w:bottom w:val="none" w:sz="0" w:space="0" w:color="auto"/>
        <w:right w:val="none" w:sz="0" w:space="0" w:color="auto"/>
      </w:divBdr>
    </w:div>
    <w:div w:id="1210268679">
      <w:bodyDiv w:val="1"/>
      <w:marLeft w:val="0"/>
      <w:marRight w:val="0"/>
      <w:marTop w:val="0"/>
      <w:marBottom w:val="0"/>
      <w:divBdr>
        <w:top w:val="none" w:sz="0" w:space="0" w:color="auto"/>
        <w:left w:val="none" w:sz="0" w:space="0" w:color="auto"/>
        <w:bottom w:val="none" w:sz="0" w:space="0" w:color="auto"/>
        <w:right w:val="none" w:sz="0" w:space="0" w:color="auto"/>
      </w:divBdr>
      <w:divsChild>
        <w:div w:id="538128027">
          <w:marLeft w:val="0"/>
          <w:marRight w:val="0"/>
          <w:marTop w:val="0"/>
          <w:marBottom w:val="75"/>
          <w:divBdr>
            <w:top w:val="none" w:sz="0" w:space="0" w:color="auto"/>
            <w:left w:val="none" w:sz="0" w:space="0" w:color="auto"/>
            <w:bottom w:val="none" w:sz="0" w:space="0" w:color="auto"/>
            <w:right w:val="none" w:sz="0" w:space="0" w:color="auto"/>
          </w:divBdr>
        </w:div>
        <w:div w:id="170684389">
          <w:marLeft w:val="0"/>
          <w:marRight w:val="0"/>
          <w:marTop w:val="0"/>
          <w:marBottom w:val="75"/>
          <w:divBdr>
            <w:top w:val="none" w:sz="0" w:space="0" w:color="auto"/>
            <w:left w:val="none" w:sz="0" w:space="0" w:color="auto"/>
            <w:bottom w:val="none" w:sz="0" w:space="0" w:color="auto"/>
            <w:right w:val="none" w:sz="0" w:space="0" w:color="auto"/>
          </w:divBdr>
        </w:div>
      </w:divsChild>
    </w:div>
    <w:div w:id="1291013482">
      <w:bodyDiv w:val="1"/>
      <w:marLeft w:val="0"/>
      <w:marRight w:val="0"/>
      <w:marTop w:val="0"/>
      <w:marBottom w:val="0"/>
      <w:divBdr>
        <w:top w:val="none" w:sz="0" w:space="0" w:color="auto"/>
        <w:left w:val="none" w:sz="0" w:space="0" w:color="auto"/>
        <w:bottom w:val="none" w:sz="0" w:space="0" w:color="auto"/>
        <w:right w:val="none" w:sz="0" w:space="0" w:color="auto"/>
      </w:divBdr>
      <w:divsChild>
        <w:div w:id="1453935196">
          <w:marLeft w:val="0"/>
          <w:marRight w:val="0"/>
          <w:marTop w:val="0"/>
          <w:marBottom w:val="0"/>
          <w:divBdr>
            <w:top w:val="none" w:sz="0" w:space="0" w:color="auto"/>
            <w:left w:val="none" w:sz="0" w:space="0" w:color="auto"/>
            <w:bottom w:val="none" w:sz="0" w:space="0" w:color="auto"/>
            <w:right w:val="none" w:sz="0" w:space="0" w:color="auto"/>
          </w:divBdr>
          <w:divsChild>
            <w:div w:id="310259417">
              <w:marLeft w:val="0"/>
              <w:marRight w:val="0"/>
              <w:marTop w:val="0"/>
              <w:marBottom w:val="0"/>
              <w:divBdr>
                <w:top w:val="none" w:sz="0" w:space="0" w:color="auto"/>
                <w:left w:val="none" w:sz="0" w:space="0" w:color="auto"/>
                <w:bottom w:val="none" w:sz="0" w:space="0" w:color="auto"/>
                <w:right w:val="none" w:sz="0" w:space="0" w:color="auto"/>
              </w:divBdr>
              <w:divsChild>
                <w:div w:id="882252772">
                  <w:marLeft w:val="0"/>
                  <w:marRight w:val="0"/>
                  <w:marTop w:val="0"/>
                  <w:marBottom w:val="0"/>
                  <w:divBdr>
                    <w:top w:val="none" w:sz="0" w:space="0" w:color="auto"/>
                    <w:left w:val="none" w:sz="0" w:space="0" w:color="auto"/>
                    <w:bottom w:val="none" w:sz="0" w:space="0" w:color="auto"/>
                    <w:right w:val="none" w:sz="0" w:space="0" w:color="auto"/>
                  </w:divBdr>
                  <w:divsChild>
                    <w:div w:id="1821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10042">
      <w:bodyDiv w:val="1"/>
      <w:marLeft w:val="0"/>
      <w:marRight w:val="0"/>
      <w:marTop w:val="0"/>
      <w:marBottom w:val="0"/>
      <w:divBdr>
        <w:top w:val="none" w:sz="0" w:space="0" w:color="auto"/>
        <w:left w:val="none" w:sz="0" w:space="0" w:color="auto"/>
        <w:bottom w:val="none" w:sz="0" w:space="0" w:color="auto"/>
        <w:right w:val="none" w:sz="0" w:space="0" w:color="auto"/>
      </w:divBdr>
    </w:div>
    <w:div w:id="1355111076">
      <w:bodyDiv w:val="1"/>
      <w:marLeft w:val="0"/>
      <w:marRight w:val="0"/>
      <w:marTop w:val="0"/>
      <w:marBottom w:val="0"/>
      <w:divBdr>
        <w:top w:val="none" w:sz="0" w:space="0" w:color="auto"/>
        <w:left w:val="none" w:sz="0" w:space="0" w:color="auto"/>
        <w:bottom w:val="none" w:sz="0" w:space="0" w:color="auto"/>
        <w:right w:val="none" w:sz="0" w:space="0" w:color="auto"/>
      </w:divBdr>
    </w:div>
    <w:div w:id="1414552322">
      <w:bodyDiv w:val="1"/>
      <w:marLeft w:val="0"/>
      <w:marRight w:val="0"/>
      <w:marTop w:val="0"/>
      <w:marBottom w:val="0"/>
      <w:divBdr>
        <w:top w:val="none" w:sz="0" w:space="0" w:color="auto"/>
        <w:left w:val="none" w:sz="0" w:space="0" w:color="auto"/>
        <w:bottom w:val="none" w:sz="0" w:space="0" w:color="auto"/>
        <w:right w:val="none" w:sz="0" w:space="0" w:color="auto"/>
      </w:divBdr>
    </w:div>
    <w:div w:id="1479152086">
      <w:bodyDiv w:val="1"/>
      <w:marLeft w:val="0"/>
      <w:marRight w:val="0"/>
      <w:marTop w:val="0"/>
      <w:marBottom w:val="0"/>
      <w:divBdr>
        <w:top w:val="none" w:sz="0" w:space="0" w:color="auto"/>
        <w:left w:val="none" w:sz="0" w:space="0" w:color="auto"/>
        <w:bottom w:val="none" w:sz="0" w:space="0" w:color="auto"/>
        <w:right w:val="none" w:sz="0" w:space="0" w:color="auto"/>
      </w:divBdr>
    </w:div>
    <w:div w:id="1926917046">
      <w:bodyDiv w:val="1"/>
      <w:marLeft w:val="0"/>
      <w:marRight w:val="0"/>
      <w:marTop w:val="0"/>
      <w:marBottom w:val="0"/>
      <w:divBdr>
        <w:top w:val="none" w:sz="0" w:space="0" w:color="auto"/>
        <w:left w:val="none" w:sz="0" w:space="0" w:color="auto"/>
        <w:bottom w:val="none" w:sz="0" w:space="0" w:color="auto"/>
        <w:right w:val="none" w:sz="0" w:space="0" w:color="auto"/>
      </w:divBdr>
    </w:div>
    <w:div w:id="2017030927">
      <w:bodyDiv w:val="1"/>
      <w:marLeft w:val="0"/>
      <w:marRight w:val="0"/>
      <w:marTop w:val="0"/>
      <w:marBottom w:val="0"/>
      <w:divBdr>
        <w:top w:val="none" w:sz="0" w:space="0" w:color="auto"/>
        <w:left w:val="none" w:sz="0" w:space="0" w:color="auto"/>
        <w:bottom w:val="none" w:sz="0" w:space="0" w:color="auto"/>
        <w:right w:val="none" w:sz="0" w:space="0" w:color="auto"/>
      </w:divBdr>
      <w:divsChild>
        <w:div w:id="335815105">
          <w:marLeft w:val="0"/>
          <w:marRight w:val="0"/>
          <w:marTop w:val="0"/>
          <w:marBottom w:val="0"/>
          <w:divBdr>
            <w:top w:val="none" w:sz="0" w:space="0" w:color="auto"/>
            <w:left w:val="none" w:sz="0" w:space="0" w:color="auto"/>
            <w:bottom w:val="none" w:sz="0" w:space="0" w:color="auto"/>
            <w:right w:val="none" w:sz="0" w:space="0" w:color="auto"/>
          </w:divBdr>
          <w:divsChild>
            <w:div w:id="1693341506">
              <w:marLeft w:val="0"/>
              <w:marRight w:val="0"/>
              <w:marTop w:val="0"/>
              <w:marBottom w:val="0"/>
              <w:divBdr>
                <w:top w:val="none" w:sz="0" w:space="0" w:color="auto"/>
                <w:left w:val="none" w:sz="0" w:space="0" w:color="auto"/>
                <w:bottom w:val="none" w:sz="0" w:space="0" w:color="auto"/>
                <w:right w:val="none" w:sz="0" w:space="0" w:color="auto"/>
              </w:divBdr>
              <w:divsChild>
                <w:div w:id="501163196">
                  <w:marLeft w:val="0"/>
                  <w:marRight w:val="0"/>
                  <w:marTop w:val="0"/>
                  <w:marBottom w:val="0"/>
                  <w:divBdr>
                    <w:top w:val="none" w:sz="0" w:space="0" w:color="auto"/>
                    <w:left w:val="none" w:sz="0" w:space="0" w:color="auto"/>
                    <w:bottom w:val="none" w:sz="0" w:space="0" w:color="auto"/>
                    <w:right w:val="none" w:sz="0" w:space="0" w:color="auto"/>
                  </w:divBdr>
                  <w:divsChild>
                    <w:div w:id="10045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6811">
      <w:bodyDiv w:val="1"/>
      <w:marLeft w:val="0"/>
      <w:marRight w:val="0"/>
      <w:marTop w:val="0"/>
      <w:marBottom w:val="0"/>
      <w:divBdr>
        <w:top w:val="none" w:sz="0" w:space="0" w:color="auto"/>
        <w:left w:val="none" w:sz="0" w:space="0" w:color="auto"/>
        <w:bottom w:val="none" w:sz="0" w:space="0" w:color="auto"/>
        <w:right w:val="none" w:sz="0" w:space="0" w:color="auto"/>
      </w:divBdr>
    </w:div>
    <w:div w:id="2034764742">
      <w:bodyDiv w:val="1"/>
      <w:marLeft w:val="0"/>
      <w:marRight w:val="0"/>
      <w:marTop w:val="0"/>
      <w:marBottom w:val="0"/>
      <w:divBdr>
        <w:top w:val="none" w:sz="0" w:space="0" w:color="auto"/>
        <w:left w:val="none" w:sz="0" w:space="0" w:color="auto"/>
        <w:bottom w:val="none" w:sz="0" w:space="0" w:color="auto"/>
        <w:right w:val="none" w:sz="0" w:space="0" w:color="auto"/>
      </w:divBdr>
    </w:div>
    <w:div w:id="2079983087">
      <w:bodyDiv w:val="1"/>
      <w:marLeft w:val="0"/>
      <w:marRight w:val="0"/>
      <w:marTop w:val="0"/>
      <w:marBottom w:val="0"/>
      <w:divBdr>
        <w:top w:val="none" w:sz="0" w:space="0" w:color="auto"/>
        <w:left w:val="none" w:sz="0" w:space="0" w:color="auto"/>
        <w:bottom w:val="none" w:sz="0" w:space="0" w:color="auto"/>
        <w:right w:val="none" w:sz="0" w:space="0" w:color="auto"/>
      </w:divBdr>
      <w:divsChild>
        <w:div w:id="1780178643">
          <w:marLeft w:val="0"/>
          <w:marRight w:val="0"/>
          <w:marTop w:val="0"/>
          <w:marBottom w:val="0"/>
          <w:divBdr>
            <w:top w:val="none" w:sz="0" w:space="0" w:color="auto"/>
            <w:left w:val="none" w:sz="0" w:space="0" w:color="auto"/>
            <w:bottom w:val="none" w:sz="0" w:space="0" w:color="auto"/>
            <w:right w:val="none" w:sz="0" w:space="0" w:color="auto"/>
          </w:divBdr>
        </w:div>
        <w:div w:id="2016347770">
          <w:marLeft w:val="0"/>
          <w:marRight w:val="0"/>
          <w:marTop w:val="0"/>
          <w:marBottom w:val="0"/>
          <w:divBdr>
            <w:top w:val="none" w:sz="0" w:space="0" w:color="auto"/>
            <w:left w:val="none" w:sz="0" w:space="0" w:color="auto"/>
            <w:bottom w:val="none" w:sz="0" w:space="0" w:color="auto"/>
            <w:right w:val="none" w:sz="0" w:space="0" w:color="auto"/>
          </w:divBdr>
        </w:div>
        <w:div w:id="1904825020">
          <w:marLeft w:val="0"/>
          <w:marRight w:val="0"/>
          <w:marTop w:val="0"/>
          <w:marBottom w:val="0"/>
          <w:divBdr>
            <w:top w:val="none" w:sz="0" w:space="0" w:color="auto"/>
            <w:left w:val="none" w:sz="0" w:space="0" w:color="auto"/>
            <w:bottom w:val="none" w:sz="0" w:space="0" w:color="auto"/>
            <w:right w:val="none" w:sz="0" w:space="0" w:color="auto"/>
          </w:divBdr>
        </w:div>
        <w:div w:id="390076389">
          <w:marLeft w:val="0"/>
          <w:marRight w:val="0"/>
          <w:marTop w:val="0"/>
          <w:marBottom w:val="0"/>
          <w:divBdr>
            <w:top w:val="none" w:sz="0" w:space="0" w:color="auto"/>
            <w:left w:val="none" w:sz="0" w:space="0" w:color="auto"/>
            <w:bottom w:val="none" w:sz="0" w:space="0" w:color="auto"/>
            <w:right w:val="none" w:sz="0" w:space="0" w:color="auto"/>
          </w:divBdr>
        </w:div>
        <w:div w:id="1296448107">
          <w:marLeft w:val="0"/>
          <w:marRight w:val="0"/>
          <w:marTop w:val="0"/>
          <w:marBottom w:val="0"/>
          <w:divBdr>
            <w:top w:val="none" w:sz="0" w:space="0" w:color="auto"/>
            <w:left w:val="none" w:sz="0" w:space="0" w:color="auto"/>
            <w:bottom w:val="none" w:sz="0" w:space="0" w:color="auto"/>
            <w:right w:val="none" w:sz="0" w:space="0" w:color="auto"/>
          </w:divBdr>
        </w:div>
        <w:div w:id="637078886">
          <w:marLeft w:val="0"/>
          <w:marRight w:val="0"/>
          <w:marTop w:val="0"/>
          <w:marBottom w:val="0"/>
          <w:divBdr>
            <w:top w:val="none" w:sz="0" w:space="0" w:color="auto"/>
            <w:left w:val="none" w:sz="0" w:space="0" w:color="auto"/>
            <w:bottom w:val="none" w:sz="0" w:space="0" w:color="auto"/>
            <w:right w:val="none" w:sz="0" w:space="0" w:color="auto"/>
          </w:divBdr>
        </w:div>
        <w:div w:id="20900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8035/dijefa.v2i3.900" TargetMode="External"/><Relationship Id="rId18" Type="http://schemas.openxmlformats.org/officeDocument/2006/relationships/hyperlink" Target="https://doi.org/10.2991/aer.k.210121.027" TargetMode="External"/><Relationship Id="rId3" Type="http://schemas.openxmlformats.org/officeDocument/2006/relationships/styles" Target="styles.xml"/><Relationship Id="rId21" Type="http://schemas.openxmlformats.org/officeDocument/2006/relationships/hyperlink" Target="https://doi.org/10.61722/jiem.v2i6.1270" TargetMode="External"/><Relationship Id="rId7" Type="http://schemas.openxmlformats.org/officeDocument/2006/relationships/endnotes" Target="endnotes.xml"/><Relationship Id="rId12" Type="http://schemas.openxmlformats.org/officeDocument/2006/relationships/hyperlink" Target="http://dx.doi.org/10.2139/ssrn.2034646" TargetMode="External"/><Relationship Id="rId17" Type="http://schemas.openxmlformats.org/officeDocument/2006/relationships/hyperlink" Target="https://doi.org/10.37385/msej.v5i2.56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5870/emt.v8i1.2122" TargetMode="External"/><Relationship Id="rId20" Type="http://schemas.openxmlformats.org/officeDocument/2006/relationships/hyperlink" Target="https://doi.org/10.37151/jsma.v16i1.1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805/akuntansi.v7i2.238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2400/iaj.33169"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dx.doi.org/10.5281/zenodo.70577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5606/cemerlang.v4i2.2630"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maa241@ums.ac.id" TargetMode="External"/><Relationship Id="rId2" Type="http://schemas.openxmlformats.org/officeDocument/2006/relationships/hyperlink" Target="mailto:b200210171@student.ums.ac.i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Abd16</b:Tag>
    <b:SourceType>Book</b:SourceType>
    <b:Guid>{90C208C3-3048-47E1-BF8A-7E94A7D53854}</b:Guid>
    <b:Title>BMT Praktik dan Kasus</b:Title>
    <b:Year>2016</b:Year>
    <b:Author>
      <b:Author>
        <b:NameList>
          <b:Person>
            <b:Last>Ismail</b:Last>
            <b:First>Abdul</b:First>
            <b:Middle>Ghafar</b:Middle>
          </b:Person>
          <b:Person>
            <b:Last>Wibowo</b:Last>
            <b:First>Kartiko</b:First>
            <b:Middle>A.</b:Middle>
          </b:Person>
          <b:Person>
            <b:Last>Cokrohadisumarto</b:Last>
            <b:First>Widiyanto</b:First>
            <b:Middle>bin Mislan</b:Middle>
          </b:Person>
        </b:NameList>
      </b:Author>
    </b:Author>
    <b:City>Jakarta</b:City>
    <b:Publisher>PT Raja Grafindo Persada</b:Publisher>
    <b:RefOrder>2</b:RefOrder>
  </b:Source>
  <b:Source xmlns:b="http://schemas.openxmlformats.org/officeDocument/2006/bibliography">
    <b:Tag>Isttt</b:Tag>
    <b:SourceType>Book</b:SourceType>
    <b:Guid>{310D18C8-68BC-4822-90D2-51914E4B8CD1}</b:Guid>
    <b:Author>
      <b:Author>
        <b:NameList>
          <b:Person>
            <b:Last>Abadi</b:Last>
            <b:First>Istar</b:First>
          </b:Person>
        </b:NameList>
      </b:Author>
    </b:Author>
    <b:Title>Pedoman Pengelolaan BMT</b:Title>
    <b:Year>t.t.</b:Year>
    <b:City>Jakarta</b:City>
    <b:Publisher>Pustaka PKSP</b:Publisher>
    <b:RefOrder>3</b:RefOrder>
  </b:Source>
  <b:Source>
    <b:Tag>Muh17</b:Tag>
    <b:SourceType>Book</b:SourceType>
    <b:Guid>{1B17F0DF-F2F1-49FB-AD5F-A562FF53FD6E}</b:Guid>
    <b:Author>
      <b:Author>
        <b:NameList>
          <b:Person>
            <b:Last>Yazid</b:Last>
            <b:First>Muhammad</b:First>
          </b:Person>
        </b:NameList>
      </b:Author>
    </b:Author>
    <b:Title>Fiqh Muamalah Ekonomi Islam</b:Title>
    <b:Year>2017</b:Year>
    <b:City>Surabaya</b:City>
    <b:Publisher>Imtiyaz</b:Publisher>
    <b:RefOrder>4</b:RefOrder>
  </b:Source>
  <b:Source>
    <b:Tag>Rac04</b:Tag>
    <b:SourceType>Book</b:SourceType>
    <b:Guid>{D678BBE8-87D4-4885-8D71-091E3C113B5C}</b:Guid>
    <b:Author>
      <b:Author>
        <b:NameList>
          <b:Person>
            <b:Last>Syafe’i</b:Last>
            <b:First>Rachmat</b:First>
          </b:Person>
        </b:NameList>
      </b:Author>
    </b:Author>
    <b:Year>2004</b:Year>
    <b:City>Bandung</b:City>
    <b:Publisher>Pustaka Setia</b:Publisher>
    <b:Title>Fiqh Muamalah</b:Title>
    <b:RefOrder>5</b:RefOrder>
  </b:Source>
  <b:Source>
    <b:Tag>Adi03</b:Tag>
    <b:SourceType>Book</b:SourceType>
    <b:Guid>{20B9D346-E6BE-409B-9F50-051AB8011F90}</b:Guid>
    <b:Author>
      <b:Author>
        <b:NameList>
          <b:Person>
            <b:Last>Karim</b:Last>
            <b:First>Adiwarman</b:First>
            <b:Middle>A.</b:Middle>
          </b:Person>
        </b:NameList>
      </b:Author>
    </b:Author>
    <b:Title>Ekonomi Islam: Suatu Kajian Kontemporer</b:Title>
    <b:Year>2003</b:Year>
    <b:City>Jakarta</b:City>
    <b:Publisher>Gema Insani Press</b:Publisher>
    <b:RefOrder>6</b:RefOrder>
  </b:Source>
  <b:Source>
    <b:Tag>Sri06</b:Tag>
    <b:SourceType>Book</b:SourceType>
    <b:Guid>{6B76959E-B41C-49F0-9E64-D2785F180598}</b:Guid>
    <b:Author>
      <b:Author>
        <b:NameList>
          <b:Person>
            <b:Last>Nurhayati</b:Last>
            <b:First>Sri</b:First>
          </b:Person>
        </b:NameList>
      </b:Author>
    </b:Author>
    <b:Title>Akuntansi Syariah di Indonesia</b:Title>
    <b:Year>2006</b:Year>
    <b:City>Jakarta</b:City>
    <b:Publisher>Salemba Empat</b:Publisher>
    <b:RefOrder>7</b:RefOrder>
  </b:Source>
  <b:Source>
    <b:Tag>Has06</b:Tag>
    <b:SourceType>Book</b:SourceType>
    <b:Guid>{DDA1CA86-8DAF-4F74-B459-F7C01E98E8AD}</b:Guid>
    <b:Author>
      <b:Author>
        <b:NameList>
          <b:Person>
            <b:Last>Ramli</b:Last>
            <b:First>Hasbi</b:First>
          </b:Person>
        </b:NameList>
      </b:Author>
    </b:Author>
    <b:Title>Teori Dasar Akuntansi Syariah</b:Title>
    <b:Year>2006</b:Year>
    <b:City>Jakarta</b:City>
    <b:Publisher>Renaisan</b:Publisher>
    <b:RefOrder>8</b:RefOrder>
  </b:Source>
  <b:Source>
    <b:Tag>Ari19</b:Tag>
    <b:SourceType>Interview</b:SourceType>
    <b:Guid>{5835F1D0-C5CD-4E28-A4A1-5BDC57B7B724}</b:Guid>
    <b:Author>
      <b:Interviewee>
        <b:NameList>
          <b:Person>
            <b:Last>Arif</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15</b:Day>
    <b:RefOrder>9</b:RefOrder>
  </b:Source>
  <b:Source>
    <b:Tag>DSN19</b:Tag>
    <b:SourceType>DocumentFromInternetSite</b:SourceType>
    <b:Guid>{54FE3CDB-0362-4B3F-BA4F-F3E7D1A9678B}</b:Guid>
    <b:Title>Fatwa DSN MUI: Nomor 27 Tahun 2002 Tentang Ijarah Muntahiyah bi at-Tamlik</b:Title>
    <b:Author>
      <b:Author>
        <b:NameList>
          <b:Person>
            <b:Last>MUI</b:Last>
            <b:First>DSN</b:First>
          </b:Person>
        </b:NameList>
      </b:Author>
    </b:Author>
    <b:InternetSiteTitle>DSN MUI</b:InternetSiteTitle>
    <b:YearAccessed>2019</b:YearAccessed>
    <b:MonthAccessed>Desember</b:MonthAccessed>
    <b:DayAccessed>7</b:DayAccessed>
    <b:URL>https://dsnmui.or.id/</b:URL>
    <b:Year>2002</b:Year>
    <b:RefOrder>10</b:RefOrder>
  </b:Source>
  <b:Source>
    <b:Tag>San15</b:Tag>
    <b:SourceType>JournalArticle</b:SourceType>
    <b:Guid>{0A43E9E6-8046-45B0-904F-2433BB6DBEB0}</b:Guid>
    <b:Author>
      <b:Author>
        <b:NameList>
          <b:Person>
            <b:Last>Santoso</b:Last>
            <b:First>Harun</b:First>
          </b:Person>
          <b:Person>
            <b:Last>Anik</b:Last>
          </b:Person>
        </b:NameList>
      </b:Author>
    </b:Author>
    <b:Title>Analisis Pembiayaan Ijarah pada Perbankan Syariah</b:Title>
    <b:JournalName>Jurnal Ilmiah Ekonomi Islam</b:JournalName>
    <b:Year>2015</b:Year>
    <b:Pages>106-116</b:Pages>
    <b:RefOrder>11</b:RefOrder>
  </b:Source>
  <b:Source>
    <b:Tag>Muh01</b:Tag>
    <b:SourceType>Book</b:SourceType>
    <b:Guid>{B077D2D4-CC4D-48EC-82F2-A101031DE653}</b:Guid>
    <b:Author>
      <b:Author>
        <b:NameList>
          <b:Person>
            <b:Last>Antonio</b:Last>
            <b:First>Muhammad</b:First>
            <b:Middle>Syafi’i</b:Middle>
          </b:Person>
        </b:NameList>
      </b:Author>
    </b:Author>
    <b:Year>2001</b:Year>
    <b:Pages>Gema Insani</b:Pages>
    <b:Title>Bank Syariah dari Teori ke Praktek</b:Title>
    <b:City>Jakarta</b:City>
    <b:Publisher>Gema Insani</b:Publisher>
    <b:RefOrder>12</b:RefOrder>
  </b:Source>
  <b:Source>
    <b:Tag>ada16</b:Tag>
    <b:SourceType>InternetSite</b:SourceType>
    <b:Guid>{F0657170-7370-4002-8EF0-751A7BB57CEC}</b:Guid>
    <b:Title>KBBI Daring</b:Title>
    <b:Year>2016</b:Year>
    <b:Author>
      <b:Author>
        <b:NameList>
          <b:Person>
            <b:Last>Kemdikbud</b:Last>
            <b:First>adan</b:First>
            <b:Middle>Pengembangan dan Pembinaan Bahasa</b:Middle>
          </b:Person>
        </b:NameList>
      </b:Author>
    </b:Author>
    <b:InternetSiteTitle>KBBI Daring Kemdikbud Online</b:InternetSiteTitle>
    <b:YearAccessed>2019</b:YearAccessed>
    <b:MonthAccessed>Desember</b:MonthAccessed>
    <b:DayAccessed>7</b:DayAccessed>
    <b:URL>https://kbbi.kemdikbud.go.id/</b:URL>
    <b:RefOrder>13</b:RefOrder>
  </b:Source>
  <b:Source>
    <b:Tag>Muh02</b:Tag>
    <b:SourceType>Book</b:SourceType>
    <b:Guid>{5C3B32DB-E68E-4D16-A95B-72CFFF511DED}</b:Guid>
    <b:Author>
      <b:Author>
        <b:NameList>
          <b:Person>
            <b:Last>Muhammad</b:Last>
          </b:Person>
        </b:NameList>
      </b:Author>
    </b:Author>
    <b:Title>Manajemen Bank Syariah</b:Title>
    <b:Year>2002</b:Year>
    <b:City>Yogyakarta</b:City>
    <b:Publisher>UPP AMP YKPN</b:Publisher>
    <b:RefOrder>14</b:RefOrder>
  </b:Source>
  <b:Source>
    <b:Tag>And09</b:Tag>
    <b:SourceType>Book</b:SourceType>
    <b:Guid>{9AC1F8C8-6609-45E6-9C3A-C86EC28FA8E3}</b:Guid>
    <b:Author>
      <b:Author>
        <b:NameList>
          <b:Person>
            <b:Last>Soemitra</b:Last>
            <b:First>Andri</b:First>
          </b:Person>
        </b:NameList>
      </b:Author>
    </b:Author>
    <b:Title>Bank dan Lembaga Keuangan Syariah</b:Title>
    <b:Year>2009</b:Year>
    <b:City>Jakarta</b:City>
    <b:Publisher>Kencana</b:Publisher>
    <b:RefOrder>15</b:RefOrder>
  </b:Source>
  <b:Source>
    <b:Tag>BMT19</b:Tag>
    <b:SourceType>Report</b:SourceType>
    <b:Guid>{059269D8-51AF-4524-93A8-0C87DB347CDB}</b:Guid>
    <b:Title>Profil BMT Maslahah</b:Title>
    <b:Year>2019</b:Year>
    <b:Author>
      <b:Author>
        <b:NameList>
          <b:Person>
            <b:Last>Maslahah</b:Last>
            <b:First>BMT</b:First>
          </b:Person>
        </b:NameList>
      </b:Author>
    </b:Author>
    <b:Publisher>Dokumen Pribadi BMT</b:Publisher>
    <b:RefOrder>16</b:RefOrder>
  </b:Source>
  <b:Source>
    <b:Tag>Mic76</b:Tag>
    <b:SourceType>JournalArticle</b:SourceType>
    <b:Guid>{F48CBE24-D5D3-4194-92CE-52E10D082F53}</b:Guid>
    <b:Author>
      <b:Author>
        <b:NameList>
          <b:Person>
            <b:Last>Jensen</b:Last>
            <b:First>Michael</b:First>
            <b:Middle>C.</b:Middle>
          </b:Person>
          <b:Person>
            <b:Last>Meckling</b:Last>
            <b:First>William</b:First>
            <b:Middle>H.</b:Middle>
          </b:Person>
        </b:NameList>
      </b:Author>
    </b:Author>
    <b:Title>Theory Of The Firm : Managerial BehaviorAgency Costs And Ownership Structure Agency Costs And Ownership Structure</b:Title>
    <b:JournalName>Journal of Financial Economic</b:JournalName>
    <b:Year>1976</b:Year>
    <b:Pages>305–360</b:Pages>
    <b:RefOrder>17</b:RefOrder>
  </b:Source>
  <b:Source>
    <b:Tag>Sta90</b:Tag>
    <b:SourceType>JournalArticle</b:SourceType>
    <b:Guid>{AE7EE0D0-F125-4B4D-A00C-97BBCE4B23D2}</b:Guid>
    <b:Author>
      <b:Author>
        <b:NameList>
          <b:Person>
            <b:Last>Baiman</b:Last>
            <b:First>Stanley</b:First>
          </b:Person>
        </b:NameList>
      </b:Author>
    </b:Author>
    <b:Title>Agency Research In Managerial Accounting : A Second Look </b:Title>
    <b:JournalName>Accounting Organizations and Society</b:JournalName>
    <b:Year>1990</b:Year>
    <b:Pages>341–371</b:Pages>
    <b:RefOrder>18</b:RefOrder>
  </b:Source>
  <b:Source>
    <b:Tag>Bam19</b:Tag>
    <b:SourceType>Interview</b:SourceType>
    <b:Guid>{06223DDC-3CCB-4F43-B73A-F9ED69B41313}</b:Guid>
    <b:Author>
      <b:Interviewee>
        <b:NameList>
          <b:Person>
            <b:Last>Bambang</b:Last>
          </b:Person>
        </b:NameList>
      </b:Interviewee>
      <b:Interviewer>
        <b:NameList>
          <b:Person>
            <b:Last>Kalam</b:Last>
            <b:First>Ahmad</b:First>
            <b:Middle>Zuhril</b:Middle>
          </b:Person>
          <b:Person>
            <b:Last>Latifah</b:Last>
            <b:First>Eny</b:First>
          </b:Person>
        </b:NameList>
      </b:Interviewer>
    </b:Author>
    <b:Title>Ujrah BMT Maslahah</b:Title>
    <b:Year>2019</b:Year>
    <b:Month>November</b:Month>
    <b:Day>13</b:Day>
    <b:RefOrder>19</b:RefOrder>
  </b:Source>
  <b:Source>
    <b:Tag>Nur19</b:Tag>
    <b:SourceType>Interview</b:SourceType>
    <b:Guid>{97A6E7B8-69A7-4516-B5D7-70B90082B2A2}</b:Guid>
    <b:Author>
      <b:Interviewee>
        <b:NameList>
          <b:Person>
            <b:Last>Hasan</b:Last>
            <b:First>Nur</b:Fir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26</b:Day>
    <b:RefOrder>20</b:RefOrder>
  </b:Source>
  <b:Source>
    <b:Tag>Hau19</b:Tag>
    <b:SourceType>Interview</b:SourceType>
    <b:Guid>{A75DAD60-5C27-4561-951D-966A1593154B}</b:Guid>
    <b:Author>
      <b:Interviewee>
        <b:NameList>
          <b:Person>
            <b:Last>Haudi</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20</b:Day>
    <b:RefOrder>21</b:RefOrder>
  </b:Source>
  <b:Source>
    <b:Tag>Muj19</b:Tag>
    <b:SourceType>Interview</b:SourceType>
    <b:Guid>{6787C26C-B2F3-470E-B926-2ACC1A9A0B9B}</b:Guid>
    <b:Author>
      <b:Interviewee>
        <b:NameList>
          <b:Person>
            <b:Last>Mujib</b:Last>
          </b:Person>
        </b:NameList>
      </b:Interviewee>
      <b:Interviewer>
        <b:NameList>
          <b:Person>
            <b:Last>Kalam</b:Last>
            <b:First>Ahmad</b:First>
            <b:Middle>Zuhril</b:Middle>
          </b:Person>
          <b:Person>
            <b:Last>Latifah</b:Last>
            <b:First>Eny</b:First>
          </b:Person>
        </b:NameList>
      </b:Interviewer>
    </b:Author>
    <b:Year>2019</b:Year>
    <b:Month>November</b:Month>
    <b:Day>14</b:Day>
    <b:RefOrder>22</b:RefOrder>
  </b:Source>
  <b:Source>
    <b:Tag>Moh20</b:Tag>
    <b:SourceType>JournalArticle</b:SourceType>
    <b:Guid>{9CA2F392-14D5-4DBB-A1BA-FE05272BA5C2}</b:Guid>
    <b:Title>ANALISIS PENERAPAN PEMBIAYAAN AKAD MURABAHAH BANK RAKYAT INDONESIA SYARIAH (BRI SYARIAH) PEKANBARU</b:Title>
    <b:Year>2020</b:Year>
    <b:Pages>16-38</b:Pages>
    <b:Author>
      <b:Author>
        <b:NameList>
          <b:Person>
            <b:Last>Winario</b:Last>
            <b:First>Mohd</b:First>
          </b:Person>
          <b:Person>
            <b:Last>Irawati</b:Last>
            <b:First>Irawati</b:First>
          </b:Person>
          <b:Person>
            <b:Last>Hasgimianti</b:Last>
            <b:First>Hasgimianti</b:First>
          </b:Person>
          <b:Person>
            <b:Last>Susanti</b:Last>
            <b:First>Emilia</b:First>
          </b:Person>
        </b:NameList>
      </b:Author>
    </b:Author>
    <b:JournalName>Indonesian Interdisciplinary Journal of Sharia Economics (IIJSE)</b:JournalName>
    <b:RefOrder>1</b:RefOrder>
  </b:Source>
  <b:Source>
    <b:Tag>Waf22</b:Tag>
    <b:SourceType>JournalArticle</b:SourceType>
    <b:Guid>{388920DC-A314-467D-AF66-2253382EF322}</b:Guid>
    <b:Author>
      <b:Author>
        <b:NameList>
          <b:Person>
            <b:Last>Wafiq Asisa</b:Last>
            <b:First>Putri</b:First>
            <b:Middle>Aulia, Novi Dalianti, Yusti Rahayu Handa</b:Middle>
          </b:Person>
        </b:NameList>
      </b:Author>
    </b:Author>
    <b:Title>Pengaruh Pemahaman Literasi Keuangan dan Kemudahan Digital Payment Terhadap Kinerja UMKM di Kota Makassar</b:Title>
    <b:JournalName>Jurnal Dinamika</b:JournalName>
    <b:Year>2022</b:Year>
    <b:RefOrder>1</b:RefOrder>
  </b:Source>
  <b:Source>
    <b:Tag>Hyu14</b:Tag>
    <b:SourceType>JournalArticle</b:SourceType>
    <b:Guid>{DB1EB9F4-FBD0-426D-B6BB-6E19B4430886}</b:Guid>
    <b:LCID>id-ID</b:LCID>
    <b:Author>
      <b:Author>
        <b:NameList>
          <b:Person>
            <b:Last>Hyun</b:Last>
            <b:First>YM,</b:First>
            <b:Middle>Kim, H.-C., O'Keefe, RM,</b:Middle>
          </b:Person>
        </b:NameList>
      </b:Author>
    </b:Author>
    <b:Title>Inter- Satisfaction antara Website dan sistem distribusi panggilan otomatis</b:Title>
    <b:JournalName>wisata perjalanan</b:JournalName>
    <b:Year>2014</b:Year>
    <b:Pages>818-841</b:Pages>
    <b:RefOrder>1</b:RefOrder>
  </b:Source>
  <b:Source>
    <b:Tag>Sug19</b:Tag>
    <b:SourceType>JournalArticle</b:SourceType>
    <b:Guid>{3427B597-2826-4113-8ECF-00D70F4D0313}</b:Guid>
    <b:LCID>id-ID</b:LCID>
    <b:Author>
      <b:Author>
        <b:NameList>
          <b:Person>
            <b:Last>Sugiyono</b:Last>
          </b:Person>
        </b:NameList>
      </b:Author>
    </b:Author>
    <b:Title>Metodelogi penelitian kuantitatif, kualitatif dan R&amp;D</b:Title>
    <b:JournalName>Bandung: Alfabeta</b:JournalName>
    <b:Year>2019</b:Year>
    <b:Pages>15</b:Pages>
    <b:RefOrder>2</b:RefOrder>
  </b:Source>
  <b:Source>
    <b:Tag>Lil23</b:Tag>
    <b:SourceType>JournalArticle</b:SourceType>
    <b:Guid>{0EB4003E-6AFF-0642-9389-790367868BB2}</b:Guid>
    <b:Author>
      <b:Author>
        <b:NameList>
          <b:Person>
            <b:Last>Lili Rahma</b:Last>
            <b:First>Nurida</b:First>
            <b:Middle>dan Rafiqi</b:Middle>
          </b:Person>
        </b:NameList>
      </b:Author>
    </b:Author>
    <b:Title>Analisis Faktor-Faktor Penggunaan Dompet Digital (E- Wallet) sebagai Alat Transaksi di Tinjau dari Perspektif  Ekonomi Islam</b:Title>
    <b:JournalName>Journal of Islamic Economic and Finance</b:JournalName>
    <b:Year>2023</b:Year>
    <b:Pages>157-167</b:Pages>
    <b:RefOrder>3</b:RefOrder>
  </b:Source>
  <b:Source>
    <b:Tag>Feb23</b:Tag>
    <b:SourceType>JournalArticle</b:SourceType>
    <b:Guid>{2F51EF1E-A939-4446-941E-6EFB9D7EF2EC}</b:Guid>
    <b:Author>
      <b:Author>
        <b:NameList>
          <b:Person>
            <b:Last>Marlena</b:Last>
            <b:First>Febrina</b:First>
            <b:Middle>Rahardi dan Novi</b:Middle>
          </b:Person>
        </b:NameList>
      </b:Author>
    </b:Author>
    <b:Title>ANALISIS FAKTOR - FAKTOR YANG MEMPENGARUHI MINAT MASYARAKAT SURABAYA TERHADAP PENGGUNAAN DOMPET DIGITAL  GOPAY</b:Title>
    <b:JournalName>Jurnal Pendidikan Tata Niaga</b:JournalName>
    <b:Year>2023</b:Year>
    <b:RefOrder>4</b:RefOrder>
  </b:Source>
  <b:Source>
    <b:Tag>Vin21</b:Tag>
    <b:SourceType>JournalArticle</b:SourceType>
    <b:Guid>{4D8559D1-5195-E345-8CA0-94165B7C63B1}</b:Guid>
    <b:Author>
      <b:Author>
        <b:NameList>
          <b:Person>
            <b:Last>Vina Dewi</b:Last>
            <b:First>Rafi</b:First>
            <b:Middle>Indra, Belia Rida, Nur Aini</b:Middle>
          </b:Person>
        </b:NameList>
      </b:Author>
    </b:Author>
    <b:Title>Analisis Faktor Penggunaan Dompet Digital Di Kalangan  Mahasiswa Perguruan Tinggi Surabaya</b:Title>
    <b:JournalName>Jurnal Teknik Informatika dan Sistem Informasi</b:JournalName>
    <b:Year>2021</b:Year>
    <b:Pages>312-322</b:Pages>
    <b:RefOrder>5</b:RefOrder>
  </b:Source>
  <b:Source>
    <b:Tag>Puj23</b:Tag>
    <b:SourceType>JournalArticle</b:SourceType>
    <b:Guid>{10C99D9C-7810-CD47-AE25-4D1E63AD40AB}</b:Guid>
    <b:Author>
      <b:Author>
        <b:NameList>
          <b:Person>
            <b:Last>Nurbaiti</b:Last>
            <b:First>Puja</b:First>
            <b:Middle>Kesuma dan</b:Middle>
          </b:Person>
        </b:NameList>
      </b:Author>
    </b:Author>
    <b:Title>Minat Menggunakan E-Wallet Dana di Kalangan Mahasiswa di kota medan</b:Title>
    <b:JournalName>Jurnal Ekonomi dan Ekonomi Syariah</b:JournalName>
    <b:Year>2023</b:Year>
    <b:RefOrder>6</b:RefOrder>
  </b:Source>
  <b:Source>
    <b:Tag>Mau23</b:Tag>
    <b:SourceType>JournalArticle</b:SourceType>
    <b:Guid>{CBDEFBC1-37D1-7549-998B-C6607205A3C5}</b:Guid>
    <b:Author>
      <b:Author>
        <b:NameList>
          <b:Person>
            <b:Last>Rafik</b:Last>
            <b:First>Maulana</b:First>
            <b:Middle>Luthfi dan Abdur</b:Middle>
          </b:Person>
        </b:NameList>
      </b:Author>
    </b:Author>
    <b:Title>Determinan Penggunaan Dompet Digital di Kalangan  Mahasiswa</b:Title>
    <b:JournalName>Jurnal Mahasiswa Bisnis dan Manajemen</b:JournalName>
    <b:Year>2023</b:Year>
    <b:Pages>221-248</b:Pages>
    <b:RefOrder>7</b:RefOrder>
  </b:Source>
  <b:Source>
    <b:Tag>Ach23</b:Tag>
    <b:SourceType>JournalArticle</b:SourceType>
    <b:Guid>{11EE7990-DFC0-E849-A8AA-F56BFC91CD78}</b:Guid>
    <b:Author>
      <b:Author>
        <b:NameList>
          <b:Person>
            <b:Last>Achmad Agung</b:Last>
            <b:First>Bahtiar,</b:First>
            <b:Middle>Eni Candra dan Heri Purwanto</b:Middle>
          </b:Person>
        </b:NameList>
      </b:Author>
    </b:Author>
    <b:Title>Analisis Faktor-Faktor Yang Mempengaruhi Minat Penggunaan E-Wallet  Pada Generasi Milenial Di Kabupaten Wonosobo (Studi Kasus Pengguna E-Wallet Shopeepay)</b:Title>
    <b:JournalName>Jurnal Akuntansi, Manajemen dan Perbankan Syariah</b:JournalName>
    <b:Year>2023</b:Year>
    <b:RefOrder>8</b:RefOrder>
  </b:Source>
  <b:Source>
    <b:Tag>Mar22</b:Tag>
    <b:SourceType>JournalArticle</b:SourceType>
    <b:Guid>{982EDC1C-948E-A247-B566-C8B5A80F8185}</b:Guid>
    <b:Author>
      <b:Author>
        <b:NameList>
          <b:Person>
            <b:Last>Ma’rifatul Hikmah</b:Last>
            <b:First>Aldi</b:First>
            <b:Middle>Fathurrahman, Tatang Rukiyat</b:Middle>
          </b:Person>
        </b:NameList>
      </b:Author>
    </b:Author>
    <b:Title>FAKTOR-FAKTOR YANG MEMPENGARUHI PENGGUNAAN DOMPET DIGITAL DANA (STUDI KASUS MASYARAKAT DKI JAKARTA)</b:Title>
    <b:JournalName>Jurnal Inovasi Manajemen dan Bisnis</b:JournalName>
    <b:Year>2022</b:Year>
    <b:RefOrder>9</b:RefOrder>
  </b:Source>
  <b:Source>
    <b:Tag>Ani22</b:Tag>
    <b:SourceType>JournalArticle</b:SourceType>
    <b:Guid>{2E8FB0CC-446D-724D-9D9F-221A4440EBEB}</b:Guid>
    <b:Author>
      <b:Author>
        <b:NameList>
          <b:Person>
            <b:Last>Anindita Lintangdesi Afriani</b:Last>
            <b:First>Kumala</b:First>
            <b:Middle>Hayati</b:Middle>
          </b:Person>
        </b:NameList>
      </b:Author>
    </b:Author>
    <b:Title>ANALISIS FAKTOR-FAKTOR PENGGUNAAN APLIKASI DOMPET DIGITAL MELALUI TECHONOLOGY ACCEPTANCE MODEL (TAM)</b:Title>
    <b:JournalName>Jurnal Komunikasi, Masyarakat dan Keamanan</b:JournalName>
    <b:Year>2022</b:Year>
    <b:RefOrder>10</b:RefOrder>
  </b:Source>
  <b:Source>
    <b:Tag>Gra22</b:Tag>
    <b:SourceType>JournalArticle</b:SourceType>
    <b:Guid>{4876E1E2-4F17-B14C-BFD0-9D732D054355}</b:Guid>
    <b:Author>
      <b:Author>
        <b:NameList>
          <b:Person>
            <b:Last>Munari</b:Last>
            <b:First>Graciela</b:First>
            <b:Middle>dan</b:Middle>
          </b:Person>
        </b:NameList>
      </b:Author>
    </b:Author>
    <b:Title>ANALISIS FAKTOR FAKTOR YANG MEMPENGARUHI PENGGUNAAN DOMPET DIGITAL</b:Title>
    <b:JournalName>Jurnal Ilmiah MEA</b:JournalName>
    <b:Year>2022</b:Year>
    <b:RefOrder>11</b:RefOrder>
  </b:Source>
  <b:Source>
    <b:Tag>Adi22</b:Tag>
    <b:SourceType>JournalArticle</b:SourceType>
    <b:Guid>{3FA4B357-45C5-F14F-9586-E825570818E9}</b:Guid>
    <b:Author>
      <b:Author>
        <b:NameList>
          <b:Person>
            <b:Last>Rahadian</b:Last>
            <b:First>Adilla</b:First>
            <b:Middle>Meitri dan Dadan</b:Middle>
          </b:Person>
        </b:NameList>
      </b:Author>
    </b:Author>
    <b:Title>Analysis of acceptance factors and market potential of digital wallets of college students</b:Title>
    <b:JournalName>Jurnal BISMA</b:JournalName>
    <b:Year>2022</b:Year>
    <b:RefOrder>12</b:RefOrder>
  </b:Source>
  <b:Source>
    <b:Tag>Dew22</b:Tag>
    <b:SourceType>JournalArticle</b:SourceType>
    <b:Guid>{34AB2913-A712-E54D-923E-E0B80BD90F63}</b:Guid>
    <b:Author>
      <b:Author>
        <b:NameList>
          <b:Person>
            <b:Last>Dewi Khornida Marheni</b:Last>
            <b:First>Candy</b:First>
            <b:Middle>, Julia Rahayu Putri , Marcelino, Dhifira Annisa Widyasari</b:Middle>
          </b:Person>
        </b:NameList>
      </b:Author>
    </b:Author>
    <b:Title>FACTORS DETERMINING COLLEGE STUDENTS’ INTENTION TO USE  E-WALLETS</b:Title>
    <b:JournalName>Jurnal ALMANA</b:JournalName>
    <b:Year>2022</b:Year>
    <b:RefOrder>13</b:RefOrder>
  </b:Source>
  <b:Source>
    <b:Tag>Ind191</b:Tag>
    <b:SourceType>Book</b:SourceType>
    <b:Guid>{09586527-C02D-4F4E-B462-A19100B6F29F}</b:Guid>
    <b:Author>
      <b:Author>
        <b:NameList>
          <b:Person>
            <b:Last>Indrarini</b:Last>
            <b:First>Silvia</b:First>
          </b:Person>
        </b:NameList>
      </b:Author>
    </b:Author>
    <b:Title>Nilai Perusahaan Melalui Kualitas Laba (Good Governance dan Kebijakan Perusahaan</b:Title>
    <b:Year>2019</b:Year>
    <b:City>Surabaya</b:City>
    <b:RefOrder>1</b:RefOrder>
  </b:Source>
</b:Sources>
</file>

<file path=customXml/itemProps1.xml><?xml version="1.0" encoding="utf-8"?>
<ds:datastoreItem xmlns:ds="http://schemas.openxmlformats.org/officeDocument/2006/customXml" ds:itemID="{02F43C0E-5795-403E-8FD8-6CD2353F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5719</Words>
  <Characters>32600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Itel Book</cp:lastModifiedBy>
  <cp:revision>3</cp:revision>
  <cp:lastPrinted>2024-11-29T03:14:00Z</cp:lastPrinted>
  <dcterms:created xsi:type="dcterms:W3CDTF">2024-11-29T03:50:00Z</dcterms:created>
  <dcterms:modified xsi:type="dcterms:W3CDTF">2024-11-29T03:57:00Z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e41e6b13-33a8-3ef0-a41c-62eb6826fd3f</vt:lpwstr>
  </property>
  <property fmtid="{D5CDD505-2E9C-101B-9397-08002B2CF9AE}" pid="24" name="Mendeley Citation Style_1">
    <vt:lpwstr>http://www.zotero.org/styles/apa</vt:lpwstr>
  </property>
  <property fmtid="{D5CDD505-2E9C-101B-9397-08002B2CF9AE}" pid="25" name="GrammarlyDocumentId">
    <vt:lpwstr>2635ac0d04279e152535f1a66322eede86f42e4e0ff502c9dac4d678feca3ae9</vt:lpwstr>
  </property>
</Properties>
</file>